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56" w:rsidRPr="0052350B" w:rsidRDefault="002C0256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52350B">
        <w:rPr>
          <w:rFonts w:ascii="Tahoma" w:hAnsi="Tahoma"/>
          <w:b/>
          <w:sz w:val="22"/>
          <w:lang w:val="es-AR"/>
        </w:rPr>
        <w:t xml:space="preserve">Objetivo: </w:t>
      </w:r>
      <w:r w:rsidRPr="0052350B">
        <w:rPr>
          <w:rFonts w:ascii="Tahoma" w:hAnsi="Tahoma"/>
          <w:sz w:val="22"/>
          <w:lang w:val="es-AR"/>
        </w:rPr>
        <w:t>Crear conciencia acerca de los peligros más comunes asociados con los cilindros de gas comprimido</w:t>
      </w:r>
    </w:p>
    <w:p w:rsidR="002C0256" w:rsidRPr="0052350B" w:rsidRDefault="002C0256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52350B" w:rsidRDefault="007E7D0E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.85pt;margin-top:7.45pt;width:468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<v:stroke dashstyle="dash"/>
          </v:shape>
        </w:pict>
      </w:r>
    </w:p>
    <w:p w:rsidR="00E964DD" w:rsidRPr="0052350B" w:rsidRDefault="00E964DD" w:rsidP="0086209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E964DD" w:rsidRPr="0052350B" w:rsidRDefault="002B63B4" w:rsidP="0086209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52350B">
        <w:rPr>
          <w:rFonts w:ascii="Tahoma" w:hAnsi="Tahoma" w:cs="Tahoma"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83185</wp:posOffset>
            </wp:positionV>
            <wp:extent cx="1291590" cy="1291590"/>
            <wp:effectExtent l="0" t="0" r="381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005" w:rsidRPr="0052350B" w:rsidRDefault="00A27444" w:rsidP="0086209D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  <w:lang w:val="es-AR"/>
        </w:rPr>
      </w:pPr>
      <w:r w:rsidRPr="0052350B">
        <w:rPr>
          <w:rFonts w:ascii="Tahoma" w:hAnsi="Tahoma"/>
          <w:sz w:val="22"/>
          <w:lang w:val="es-AR"/>
        </w:rPr>
        <w:t>Los cilindros de gas comprimido son peligrosos debido a la alta presión de su contenido y a los peligros potenciales del contenido en sí. Antes de trabajar con cilindros, familiarícese con las características de su contenido y aprenda los procedimientos de manipulación que correspondan.</w:t>
      </w:r>
    </w:p>
    <w:p w:rsidR="00AF1B7B" w:rsidRPr="0052350B" w:rsidRDefault="00AF1B7B" w:rsidP="0086209D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52350B">
        <w:rPr>
          <w:rFonts w:ascii="Tahoma" w:hAnsi="Tahoma"/>
          <w:b/>
          <w:color w:val="315CA3"/>
          <w:sz w:val="28"/>
          <w:lang w:val="es-AR"/>
        </w:rPr>
        <w:t>Presión</w:t>
      </w:r>
    </w:p>
    <w:p w:rsidR="004F18C9" w:rsidRPr="0052350B" w:rsidRDefault="00AF1B7B" w:rsidP="0086209D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52350B">
        <w:rPr>
          <w:rFonts w:ascii="Tahoma" w:hAnsi="Tahoma"/>
          <w:color w:val="000000"/>
          <w:sz w:val="22"/>
          <w:lang w:val="es-AR"/>
        </w:rPr>
        <w:t xml:space="preserve">El contenido de los cilindros de gas comprimido se encuentra bajo presiones extremas, generalmente cientos </w:t>
      </w:r>
      <w:r w:rsidR="003623E8">
        <w:rPr>
          <w:rFonts w:ascii="Tahoma" w:hAnsi="Tahoma"/>
          <w:color w:val="000000"/>
          <w:sz w:val="22"/>
          <w:lang w:val="es-AR"/>
        </w:rPr>
        <w:t>e</w:t>
      </w:r>
      <w:r w:rsidRPr="0052350B">
        <w:rPr>
          <w:rFonts w:ascii="Tahoma" w:hAnsi="Tahoma"/>
          <w:color w:val="000000"/>
          <w:sz w:val="22"/>
          <w:lang w:val="es-AR"/>
        </w:rPr>
        <w:t xml:space="preserve"> incluso miles de libras por pulgada cuadrada (psi). Una descompresión repentina y descontrolada (p. ej., debido a una punción en el cilindro o la rotura de una válvula) puede convertir al cilindro en un misil con el potencial de provocar lesiones graves y daño a la propiedad.</w:t>
      </w:r>
    </w:p>
    <w:p w:rsidR="00CC05F1" w:rsidRPr="0052350B" w:rsidRDefault="00D06B10" w:rsidP="00842526">
      <w:pPr>
        <w:pStyle w:val="NormalWeb"/>
        <w:tabs>
          <w:tab w:val="left" w:pos="2400"/>
        </w:tabs>
        <w:spacing w:before="0" w:beforeAutospacing="0" w:after="400" w:afterAutospacing="0"/>
        <w:rPr>
          <w:rFonts w:ascii="Tahoma" w:hAnsi="Tahoma" w:cs="Tahoma"/>
          <w:b/>
          <w:sz w:val="28"/>
          <w:szCs w:val="28"/>
          <w:lang w:val="es-AR"/>
        </w:rPr>
      </w:pPr>
      <w:r w:rsidRPr="0052350B">
        <w:rPr>
          <w:rFonts w:ascii="Tahoma" w:hAnsi="Tahoma"/>
          <w:b/>
          <w:color w:val="315CA3"/>
          <w:sz w:val="28"/>
          <w:lang w:val="es-AR"/>
        </w:rPr>
        <w:t>Temperatura</w:t>
      </w:r>
      <w:r w:rsidRPr="0052350B">
        <w:rPr>
          <w:lang w:val="es-AR"/>
        </w:rPr>
        <w:tab/>
      </w:r>
    </w:p>
    <w:p w:rsidR="00842526" w:rsidRPr="0052350B" w:rsidRDefault="002A569A" w:rsidP="008108A7">
      <w:pPr>
        <w:pStyle w:val="ColorfulList-Accent11"/>
        <w:spacing w:after="600" w:line="240" w:lineRule="auto"/>
        <w:ind w:left="0"/>
        <w:contextualSpacing w:val="0"/>
        <w:rPr>
          <w:rFonts w:ascii="Tahoma" w:hAnsi="Tahoma" w:cs="Tahoma"/>
          <w:lang w:val="es-AR"/>
        </w:rPr>
      </w:pPr>
      <w:r w:rsidRPr="0052350B">
        <w:rPr>
          <w:rFonts w:ascii="Tahoma" w:hAnsi="Tahoma"/>
          <w:lang w:val="es-AR"/>
        </w:rPr>
        <w:t>Determinados gases deben almacenarse criog</w:t>
      </w:r>
      <w:r w:rsidR="00305564">
        <w:rPr>
          <w:rFonts w:ascii="Tahoma" w:hAnsi="Tahoma"/>
          <w:lang w:val="es-AR"/>
        </w:rPr>
        <w:t>énicamente</w:t>
      </w:r>
      <w:r w:rsidRPr="0052350B">
        <w:rPr>
          <w:rFonts w:ascii="Tahoma" w:hAnsi="Tahoma"/>
          <w:lang w:val="es-AR"/>
        </w:rPr>
        <w:t xml:space="preserve"> en estado líquido, lo que requiere el uso de cilindros aislados especiales. El contacto con líquidos criog</w:t>
      </w:r>
      <w:r w:rsidR="00305564">
        <w:rPr>
          <w:rFonts w:ascii="Tahoma" w:hAnsi="Tahoma"/>
          <w:lang w:val="es-AR"/>
        </w:rPr>
        <w:t>énico</w:t>
      </w:r>
      <w:r w:rsidRPr="0052350B">
        <w:rPr>
          <w:rFonts w:ascii="Tahoma" w:hAnsi="Tahoma"/>
          <w:lang w:val="es-AR"/>
        </w:rPr>
        <w:t>s (o con los recipientes aislados que los contienen</w:t>
      </w:r>
      <w:r w:rsidR="00305564">
        <w:rPr>
          <w:rFonts w:ascii="Tahoma" w:hAnsi="Tahoma"/>
          <w:lang w:val="es-AR"/>
        </w:rPr>
        <w:t xml:space="preserve"> </w:t>
      </w:r>
      <w:r w:rsidR="00305564" w:rsidRPr="0052350B">
        <w:rPr>
          <w:rFonts w:ascii="Tahoma" w:hAnsi="Tahoma"/>
          <w:lang w:val="es-AR"/>
        </w:rPr>
        <w:t>de manera inadecuada</w:t>
      </w:r>
      <w:r w:rsidRPr="0052350B">
        <w:rPr>
          <w:rFonts w:ascii="Tahoma" w:hAnsi="Tahoma"/>
          <w:lang w:val="es-AR"/>
        </w:rPr>
        <w:t>) puede provocar congelamiento o asfixia. Asimismo, si los líquidos criog</w:t>
      </w:r>
      <w:r w:rsidR="00305564">
        <w:rPr>
          <w:rFonts w:ascii="Tahoma" w:hAnsi="Tahoma"/>
          <w:lang w:val="es-AR"/>
        </w:rPr>
        <w:t>énicos</w:t>
      </w:r>
      <w:r w:rsidRPr="0052350B">
        <w:rPr>
          <w:rFonts w:ascii="Tahoma" w:hAnsi="Tahoma"/>
          <w:lang w:val="es-AR"/>
        </w:rPr>
        <w:t xml:space="preserve"> son liberados, pueden volverse tóxicos cuando se evaporan y pasan nuevamente a estado gaseoso.</w:t>
      </w:r>
      <w:r w:rsidRPr="0052350B">
        <w:rPr>
          <w:rFonts w:ascii="Tahoma" w:hAnsi="Tahoma"/>
          <w:b/>
          <w:lang w:val="es-AR"/>
        </w:rPr>
        <w:t xml:space="preserve"> </w:t>
      </w:r>
    </w:p>
    <w:p w:rsidR="00B87F62" w:rsidRPr="0052350B" w:rsidRDefault="002A569A" w:rsidP="008108A7">
      <w:pPr>
        <w:pStyle w:val="ColorfulList-Accent11"/>
        <w:spacing w:after="400" w:line="240" w:lineRule="auto"/>
        <w:ind w:left="0"/>
        <w:contextualSpacing w:val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52350B">
        <w:rPr>
          <w:rFonts w:ascii="Tahoma" w:hAnsi="Tahoma"/>
          <w:b/>
          <w:color w:val="315CA3"/>
          <w:sz w:val="28"/>
          <w:lang w:val="es-AR"/>
        </w:rPr>
        <w:t>Peligros químicos</w:t>
      </w:r>
    </w:p>
    <w:p w:rsidR="00560968" w:rsidRPr="0052350B" w:rsidRDefault="002A569A" w:rsidP="0086209D">
      <w:pPr>
        <w:tabs>
          <w:tab w:val="left" w:pos="450"/>
        </w:tabs>
        <w:spacing w:after="220"/>
        <w:rPr>
          <w:rFonts w:ascii="Tahoma" w:hAnsi="Tahoma" w:cs="Tahoma"/>
          <w:sz w:val="22"/>
          <w:szCs w:val="22"/>
          <w:lang w:val="es-AR"/>
        </w:rPr>
      </w:pPr>
      <w:r w:rsidRPr="0052350B">
        <w:rPr>
          <w:rFonts w:ascii="Tahoma" w:hAnsi="Tahoma"/>
          <w:sz w:val="22"/>
          <w:lang w:val="es-AR"/>
        </w:rPr>
        <w:t>El contenido de los cilindros puede tener sus propias características peligrosas, como las siguientes:</w:t>
      </w:r>
    </w:p>
    <w:p w:rsidR="00E55DC9" w:rsidRPr="0052350B" w:rsidRDefault="00E55DC9" w:rsidP="008108A7">
      <w:pPr>
        <w:tabs>
          <w:tab w:val="left" w:pos="450"/>
          <w:tab w:val="left" w:pos="4125"/>
        </w:tabs>
        <w:spacing w:after="220"/>
        <w:rPr>
          <w:rFonts w:ascii="Tahoma" w:hAnsi="Tahoma" w:cs="Tahoma"/>
          <w:color w:val="000000"/>
          <w:sz w:val="22"/>
          <w:szCs w:val="22"/>
          <w:lang w:val="es-AR"/>
        </w:rPr>
      </w:pPr>
      <w:r w:rsidRPr="0052350B">
        <w:rPr>
          <w:rFonts w:ascii="Tahoma" w:hAnsi="Tahoma"/>
          <w:color w:val="000000"/>
          <w:sz w:val="22"/>
          <w:lang w:val="es-AR"/>
        </w:rPr>
        <w:t>•</w:t>
      </w:r>
      <w:r w:rsidRPr="0052350B">
        <w:rPr>
          <w:lang w:val="es-AR"/>
        </w:rPr>
        <w:tab/>
      </w:r>
      <w:r w:rsidRPr="0052350B">
        <w:rPr>
          <w:rFonts w:ascii="Tahoma" w:hAnsi="Tahoma"/>
          <w:color w:val="000000"/>
          <w:sz w:val="22"/>
          <w:lang w:val="es-AR"/>
        </w:rPr>
        <w:t>Inflamable</w:t>
      </w:r>
      <w:r w:rsidRPr="0052350B">
        <w:rPr>
          <w:lang w:val="es-AR"/>
        </w:rPr>
        <w:tab/>
      </w:r>
    </w:p>
    <w:p w:rsidR="00E55DC9" w:rsidRPr="0052350B" w:rsidRDefault="00E55DC9" w:rsidP="0086209D">
      <w:pPr>
        <w:tabs>
          <w:tab w:val="left" w:pos="450"/>
        </w:tabs>
        <w:spacing w:after="220"/>
        <w:rPr>
          <w:rFonts w:ascii="Tahoma" w:hAnsi="Tahoma" w:cs="Tahoma"/>
          <w:color w:val="000000"/>
          <w:sz w:val="22"/>
          <w:szCs w:val="22"/>
          <w:lang w:val="es-AR"/>
        </w:rPr>
      </w:pPr>
      <w:r w:rsidRPr="0052350B">
        <w:rPr>
          <w:rFonts w:ascii="Tahoma" w:hAnsi="Tahoma"/>
          <w:color w:val="000000"/>
          <w:sz w:val="22"/>
          <w:lang w:val="es-AR"/>
        </w:rPr>
        <w:t>•</w:t>
      </w:r>
      <w:r w:rsidRPr="0052350B">
        <w:rPr>
          <w:lang w:val="es-AR"/>
        </w:rPr>
        <w:tab/>
      </w:r>
      <w:r w:rsidR="00305564">
        <w:rPr>
          <w:rFonts w:ascii="Tahoma" w:hAnsi="Tahoma"/>
          <w:color w:val="000000"/>
          <w:sz w:val="22"/>
          <w:lang w:val="es-AR"/>
        </w:rPr>
        <w:t>Tóxico</w:t>
      </w:r>
    </w:p>
    <w:p w:rsidR="00E55DC9" w:rsidRPr="0052350B" w:rsidRDefault="00E55DC9" w:rsidP="0086209D">
      <w:pPr>
        <w:tabs>
          <w:tab w:val="left" w:pos="450"/>
        </w:tabs>
        <w:spacing w:after="220"/>
        <w:rPr>
          <w:rFonts w:ascii="Tahoma" w:hAnsi="Tahoma" w:cs="Tahoma"/>
          <w:color w:val="000000"/>
          <w:sz w:val="22"/>
          <w:szCs w:val="22"/>
          <w:lang w:val="es-AR"/>
        </w:rPr>
      </w:pPr>
      <w:r w:rsidRPr="0052350B">
        <w:rPr>
          <w:rFonts w:ascii="Tahoma" w:hAnsi="Tahoma"/>
          <w:color w:val="000000"/>
          <w:sz w:val="22"/>
          <w:lang w:val="es-AR"/>
        </w:rPr>
        <w:t>•</w:t>
      </w:r>
      <w:r w:rsidRPr="0052350B">
        <w:rPr>
          <w:lang w:val="es-AR"/>
        </w:rPr>
        <w:tab/>
      </w:r>
      <w:r w:rsidRPr="0052350B">
        <w:rPr>
          <w:rFonts w:ascii="Tahoma" w:hAnsi="Tahoma"/>
          <w:color w:val="000000"/>
          <w:sz w:val="22"/>
          <w:lang w:val="es-AR"/>
        </w:rPr>
        <w:t>Corrosiv</w:t>
      </w:r>
      <w:r w:rsidR="00305564">
        <w:rPr>
          <w:rFonts w:ascii="Tahoma" w:hAnsi="Tahoma"/>
          <w:color w:val="000000"/>
          <w:sz w:val="22"/>
          <w:lang w:val="es-AR"/>
        </w:rPr>
        <w:t>o</w:t>
      </w:r>
    </w:p>
    <w:p w:rsidR="00E55DC9" w:rsidRPr="0052350B" w:rsidRDefault="00E55DC9" w:rsidP="0086209D">
      <w:pPr>
        <w:tabs>
          <w:tab w:val="left" w:pos="450"/>
        </w:tabs>
        <w:spacing w:after="220"/>
        <w:rPr>
          <w:rFonts w:ascii="Tahoma" w:hAnsi="Tahoma" w:cs="Tahoma"/>
          <w:color w:val="000000"/>
          <w:sz w:val="22"/>
          <w:szCs w:val="22"/>
          <w:lang w:val="es-AR"/>
        </w:rPr>
      </w:pPr>
      <w:r w:rsidRPr="0052350B">
        <w:rPr>
          <w:rFonts w:ascii="Tahoma" w:hAnsi="Tahoma"/>
          <w:color w:val="000000"/>
          <w:sz w:val="22"/>
          <w:lang w:val="es-AR"/>
        </w:rPr>
        <w:t>•</w:t>
      </w:r>
      <w:r w:rsidRPr="0052350B">
        <w:rPr>
          <w:lang w:val="es-AR"/>
        </w:rPr>
        <w:tab/>
      </w:r>
      <w:r w:rsidR="00305564">
        <w:rPr>
          <w:rFonts w:ascii="Tahoma" w:hAnsi="Tahoma"/>
          <w:color w:val="000000"/>
          <w:sz w:val="22"/>
          <w:lang w:val="es-AR"/>
        </w:rPr>
        <w:t>Oxidante</w:t>
      </w:r>
    </w:p>
    <w:p w:rsidR="006C3498" w:rsidRPr="0052350B" w:rsidRDefault="00E55DC9" w:rsidP="0086209D">
      <w:pPr>
        <w:tabs>
          <w:tab w:val="left" w:pos="450"/>
        </w:tabs>
        <w:spacing w:after="200"/>
        <w:rPr>
          <w:rFonts w:ascii="Tahoma" w:hAnsi="Tahoma" w:cs="Tahoma"/>
          <w:color w:val="000000"/>
          <w:sz w:val="22"/>
          <w:szCs w:val="22"/>
          <w:lang w:val="es-AR"/>
        </w:rPr>
      </w:pPr>
      <w:r w:rsidRPr="0052350B">
        <w:rPr>
          <w:rFonts w:ascii="Tahoma" w:hAnsi="Tahoma"/>
          <w:color w:val="000000"/>
          <w:sz w:val="22"/>
          <w:lang w:val="es-AR"/>
        </w:rPr>
        <w:lastRenderedPageBreak/>
        <w:t>•</w:t>
      </w:r>
      <w:r w:rsidRPr="0052350B">
        <w:rPr>
          <w:lang w:val="es-AR"/>
        </w:rPr>
        <w:tab/>
      </w:r>
      <w:r w:rsidR="00305564">
        <w:rPr>
          <w:rFonts w:ascii="Tahoma" w:hAnsi="Tahoma"/>
          <w:color w:val="000000"/>
          <w:sz w:val="22"/>
          <w:lang w:val="es-AR"/>
        </w:rPr>
        <w:t>Asfixiante</w:t>
      </w:r>
    </w:p>
    <w:p w:rsidR="007E7D0E" w:rsidRDefault="007E7D0E" w:rsidP="007E7D0E">
      <w:pPr>
        <w:tabs>
          <w:tab w:val="left" w:pos="450"/>
        </w:tabs>
        <w:ind w:left="4"/>
        <w:rPr>
          <w:rFonts w:ascii="Tahoma" w:hAnsi="Tahoma" w:cs="Tahoma"/>
          <w:color w:val="A5A5A5" w:themeColor="accent3"/>
          <w:sz w:val="22"/>
          <w:szCs w:val="22"/>
          <w:lang w:val="es-AR"/>
        </w:rPr>
      </w:pPr>
    </w:p>
    <w:p w:rsidR="007E7D0E" w:rsidRDefault="007E7D0E" w:rsidP="007E7D0E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E7D0E" w:rsidRDefault="007E7D0E" w:rsidP="007E7D0E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E7D0E" w:rsidRPr="00570842" w:rsidRDefault="007E7D0E" w:rsidP="007E7D0E">
      <w:pPr>
        <w:tabs>
          <w:tab w:val="left" w:pos="0"/>
        </w:tabs>
        <w:ind w:left="1440" w:hanging="1440"/>
        <w:jc w:val="center"/>
        <w:rPr>
          <w:rFonts w:ascii="Tahoma" w:hAnsi="Tahoma" w:cs="Tahoma"/>
          <w:sz w:val="17"/>
          <w:szCs w:val="17"/>
          <w:lang w:val="es-AR"/>
        </w:rPr>
      </w:pPr>
      <w:bookmarkStart w:id="0" w:name="_GoBack"/>
      <w:bookmarkEnd w:id="0"/>
      <w:r>
        <w:rPr>
          <w:rFonts w:ascii="Tahoma" w:hAnsi="Tahoma" w:cs="Tahoma"/>
          <w:b/>
          <w:i/>
          <w:sz w:val="17"/>
          <w:lang w:val="es-AR"/>
        </w:rPr>
        <w:t>Recuerde documentar la asistencia en la solicitud de Control de capacitación del Centro de Gestión de Riesgo.</w:t>
      </w:r>
    </w:p>
    <w:p w:rsidR="0045764A" w:rsidRPr="0052350B" w:rsidRDefault="0045764A" w:rsidP="007E7D0E">
      <w:pPr>
        <w:tabs>
          <w:tab w:val="left" w:pos="1440"/>
          <w:tab w:val="left" w:pos="2160"/>
        </w:tabs>
        <w:rPr>
          <w:color w:val="E7E6E6" w:themeColor="background2"/>
          <w:sz w:val="17"/>
          <w:szCs w:val="17"/>
          <w:lang w:val="es-AR"/>
        </w:rPr>
      </w:pPr>
    </w:p>
    <w:sectPr w:rsidR="0045764A" w:rsidRPr="0052350B" w:rsidSect="003130E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51" w:rsidRDefault="00B02B51">
      <w:r>
        <w:separator/>
      </w:r>
    </w:p>
  </w:endnote>
  <w:endnote w:type="continuationSeparator" w:id="0">
    <w:p w:rsidR="00B02B51" w:rsidRDefault="00B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1354B8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E7D0E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51" w:rsidRDefault="00B02B51">
      <w:r>
        <w:separator/>
      </w:r>
    </w:p>
  </w:footnote>
  <w:footnote w:type="continuationSeparator" w:id="0">
    <w:p w:rsidR="00B02B51" w:rsidRDefault="00B0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4F" w:rsidRDefault="007E7D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5D2BA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Seguridad del cilindro de gas comprimido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5D2BAC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Peligros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4F" w:rsidRDefault="007E7D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51AB"/>
    <w:multiLevelType w:val="hybridMultilevel"/>
    <w:tmpl w:val="A90C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5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28"/>
  </w:num>
  <w:num w:numId="5">
    <w:abstractNumId w:val="30"/>
  </w:num>
  <w:num w:numId="6">
    <w:abstractNumId w:val="31"/>
  </w:num>
  <w:num w:numId="7">
    <w:abstractNumId w:val="18"/>
  </w:num>
  <w:num w:numId="8">
    <w:abstractNumId w:val="24"/>
  </w:num>
  <w:num w:numId="9">
    <w:abstractNumId w:val="19"/>
  </w:num>
  <w:num w:numId="10">
    <w:abstractNumId w:val="43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1"/>
  </w:num>
  <w:num w:numId="16">
    <w:abstractNumId w:val="17"/>
  </w:num>
  <w:num w:numId="17">
    <w:abstractNumId w:val="38"/>
  </w:num>
  <w:num w:numId="18">
    <w:abstractNumId w:val="32"/>
  </w:num>
  <w:num w:numId="19">
    <w:abstractNumId w:val="27"/>
  </w:num>
  <w:num w:numId="20">
    <w:abstractNumId w:val="13"/>
  </w:num>
  <w:num w:numId="21">
    <w:abstractNumId w:val="16"/>
  </w:num>
  <w:num w:numId="22">
    <w:abstractNumId w:val="7"/>
  </w:num>
  <w:num w:numId="23">
    <w:abstractNumId w:val="26"/>
  </w:num>
  <w:num w:numId="24">
    <w:abstractNumId w:val="39"/>
  </w:num>
  <w:num w:numId="25">
    <w:abstractNumId w:val="15"/>
  </w:num>
  <w:num w:numId="26">
    <w:abstractNumId w:val="11"/>
  </w:num>
  <w:num w:numId="27">
    <w:abstractNumId w:val="35"/>
  </w:num>
  <w:num w:numId="28">
    <w:abstractNumId w:val="12"/>
  </w:num>
  <w:num w:numId="29">
    <w:abstractNumId w:val="37"/>
  </w:num>
  <w:num w:numId="30">
    <w:abstractNumId w:val="20"/>
  </w:num>
  <w:num w:numId="31">
    <w:abstractNumId w:val="40"/>
  </w:num>
  <w:num w:numId="32">
    <w:abstractNumId w:val="36"/>
  </w:num>
  <w:num w:numId="33">
    <w:abstractNumId w:val="10"/>
  </w:num>
  <w:num w:numId="34">
    <w:abstractNumId w:val="14"/>
  </w:num>
  <w:num w:numId="35">
    <w:abstractNumId w:val="4"/>
  </w:num>
  <w:num w:numId="36">
    <w:abstractNumId w:val="42"/>
  </w:num>
  <w:num w:numId="37">
    <w:abstractNumId w:val="0"/>
  </w:num>
  <w:num w:numId="38">
    <w:abstractNumId w:val="25"/>
  </w:num>
  <w:num w:numId="39">
    <w:abstractNumId w:val="34"/>
  </w:num>
  <w:num w:numId="40">
    <w:abstractNumId w:val="8"/>
  </w:num>
  <w:num w:numId="41">
    <w:abstractNumId w:val="2"/>
  </w:num>
  <w:num w:numId="42">
    <w:abstractNumId w:val="45"/>
  </w:num>
  <w:num w:numId="43">
    <w:abstractNumId w:val="23"/>
  </w:num>
  <w:num w:numId="44">
    <w:abstractNumId w:val="21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2B0F"/>
    <w:rsid w:val="000B595F"/>
    <w:rsid w:val="000B7CC5"/>
    <w:rsid w:val="000C63D7"/>
    <w:rsid w:val="000C6488"/>
    <w:rsid w:val="000E3BD9"/>
    <w:rsid w:val="000F7B87"/>
    <w:rsid w:val="00101E99"/>
    <w:rsid w:val="00112391"/>
    <w:rsid w:val="00125460"/>
    <w:rsid w:val="00134016"/>
    <w:rsid w:val="001354B8"/>
    <w:rsid w:val="0015166E"/>
    <w:rsid w:val="00170124"/>
    <w:rsid w:val="00177A03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A569A"/>
    <w:rsid w:val="002B63B4"/>
    <w:rsid w:val="002C0256"/>
    <w:rsid w:val="002D6590"/>
    <w:rsid w:val="002E66D9"/>
    <w:rsid w:val="00305564"/>
    <w:rsid w:val="00305964"/>
    <w:rsid w:val="003130E6"/>
    <w:rsid w:val="00315F40"/>
    <w:rsid w:val="00322552"/>
    <w:rsid w:val="00330324"/>
    <w:rsid w:val="00335DE1"/>
    <w:rsid w:val="00350477"/>
    <w:rsid w:val="00357814"/>
    <w:rsid w:val="003623E8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584A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18C9"/>
    <w:rsid w:val="004F303E"/>
    <w:rsid w:val="00512A26"/>
    <w:rsid w:val="0052350B"/>
    <w:rsid w:val="005271CD"/>
    <w:rsid w:val="0052722C"/>
    <w:rsid w:val="005330C2"/>
    <w:rsid w:val="005405B2"/>
    <w:rsid w:val="00541304"/>
    <w:rsid w:val="00560968"/>
    <w:rsid w:val="005667BF"/>
    <w:rsid w:val="00567689"/>
    <w:rsid w:val="00574EBB"/>
    <w:rsid w:val="00580B58"/>
    <w:rsid w:val="005A00E0"/>
    <w:rsid w:val="005C64E0"/>
    <w:rsid w:val="005D18E4"/>
    <w:rsid w:val="005D2BAC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C3498"/>
    <w:rsid w:val="006D03B0"/>
    <w:rsid w:val="006D450A"/>
    <w:rsid w:val="006E3AA5"/>
    <w:rsid w:val="006F39C1"/>
    <w:rsid w:val="006F5957"/>
    <w:rsid w:val="00703F51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E7D0E"/>
    <w:rsid w:val="007F3E26"/>
    <w:rsid w:val="008108A7"/>
    <w:rsid w:val="00812B83"/>
    <w:rsid w:val="00823703"/>
    <w:rsid w:val="008272DA"/>
    <w:rsid w:val="00833B6C"/>
    <w:rsid w:val="00841EAC"/>
    <w:rsid w:val="00842526"/>
    <w:rsid w:val="00854C82"/>
    <w:rsid w:val="0086209D"/>
    <w:rsid w:val="008818F2"/>
    <w:rsid w:val="008918CA"/>
    <w:rsid w:val="0089588C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E21C8"/>
    <w:rsid w:val="009F59F6"/>
    <w:rsid w:val="009F6923"/>
    <w:rsid w:val="00A0664B"/>
    <w:rsid w:val="00A24109"/>
    <w:rsid w:val="00A27444"/>
    <w:rsid w:val="00A75770"/>
    <w:rsid w:val="00A84185"/>
    <w:rsid w:val="00A907A9"/>
    <w:rsid w:val="00AB6FBC"/>
    <w:rsid w:val="00AC6A6C"/>
    <w:rsid w:val="00AD0DF2"/>
    <w:rsid w:val="00AD2191"/>
    <w:rsid w:val="00AE3C61"/>
    <w:rsid w:val="00AE3D93"/>
    <w:rsid w:val="00AF1B7B"/>
    <w:rsid w:val="00AF731B"/>
    <w:rsid w:val="00B01A96"/>
    <w:rsid w:val="00B02B51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0291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06B1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17E73"/>
    <w:rsid w:val="00E20D1F"/>
    <w:rsid w:val="00E25131"/>
    <w:rsid w:val="00E30D9E"/>
    <w:rsid w:val="00E55DC9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1D73"/>
    <w:rsid w:val="00FC23F0"/>
    <w:rsid w:val="00FC3083"/>
    <w:rsid w:val="00FC7438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A357F61B-8051-430C-80C7-B6AA705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583A-C36A-495B-9BF6-CE5D2A67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Kelsey Rzepecki</cp:lastModifiedBy>
  <cp:revision>2</cp:revision>
  <cp:lastPrinted>2014-12-17T00:20:00Z</cp:lastPrinted>
  <dcterms:created xsi:type="dcterms:W3CDTF">2015-10-02T22:50:00Z</dcterms:created>
  <dcterms:modified xsi:type="dcterms:W3CDTF">2015-10-02T22:50:00Z</dcterms:modified>
</cp:coreProperties>
</file>