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AD9F" w14:textId="09CC0BBD" w:rsidR="00661A2C" w:rsidRPr="00797BC0" w:rsidRDefault="005C2664" w:rsidP="00F00C8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DA5500"/>
          <w:sz w:val="36"/>
          <w:szCs w:val="36"/>
        </w:rPr>
      </w:pPr>
      <w:r w:rsidRPr="00797BC0">
        <w:rPr>
          <w:rFonts w:ascii="Tahoma" w:hAnsi="Tahoma" w:cs="Tahoma"/>
          <w:b/>
          <w:color w:val="DA5500"/>
          <w:sz w:val="36"/>
          <w:szCs w:val="36"/>
        </w:rPr>
        <w:t>Earthquake Preparedness</w:t>
      </w:r>
    </w:p>
    <w:p w14:paraId="633DF10C" w14:textId="73EAF95F" w:rsidR="00F00C8E" w:rsidRPr="0084720E" w:rsidRDefault="00176B7A" w:rsidP="00F00C8E">
      <w:pPr>
        <w:pStyle w:val="NormalWeb"/>
        <w:spacing w:before="0" w:beforeAutospacing="0" w:after="260" w:afterAutospacing="0"/>
        <w:rPr>
          <w:rFonts w:ascii="Tahoma" w:hAnsi="Tahoma" w:cs="Tahoma"/>
          <w:color w:val="000000"/>
          <w:sz w:val="22"/>
          <w:szCs w:val="22"/>
        </w:rPr>
      </w:pPr>
      <w:r w:rsidRPr="003277DA">
        <w:rPr>
          <w:rFonts w:ascii="Tahoma" w:hAnsi="Tahoma" w:cs="Tahoma"/>
          <w:noProof/>
          <w:sz w:val="24"/>
          <w:szCs w:val="24"/>
        </w:rPr>
        <w:drawing>
          <wp:anchor distT="0" distB="0" distL="274320" distR="114300" simplePos="0" relativeHeight="251659776" behindDoc="0" locked="0" layoutInCell="1" allowOverlap="1" wp14:anchorId="0DD9D541" wp14:editId="167B3BF9">
            <wp:simplePos x="0" y="0"/>
            <wp:positionH relativeFrom="margin">
              <wp:posOffset>3438525</wp:posOffset>
            </wp:positionH>
            <wp:positionV relativeFrom="paragraph">
              <wp:posOffset>36195</wp:posOffset>
            </wp:positionV>
            <wp:extent cx="2514600" cy="1600200"/>
            <wp:effectExtent l="0" t="0" r="0" b="0"/>
            <wp:wrapSquare wrapText="bothSides"/>
            <wp:docPr id="2" name="Picture 2" descr="2014 USGS National Seismic Hazard Map, displaying intensity of potential ground shaking from an earthquake in 50 years (which is the typical lifetime of a building). -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USGS National Seismic Hazard Map, displaying intensity of potential ground shaking from an earthquake in 50 years (which is the typical lifetime of a building). - PDF">
                      <a:hlinkClick r:id="rId11" tooltip="&quot;2014 USGS National Seismic Hazard Map, displaying intensity of potential ground shaking from an earthquake in 50 years (which is the typical lifetime of a building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664" w:rsidRPr="0084720E">
        <w:rPr>
          <w:rFonts w:ascii="Tahoma" w:hAnsi="Tahoma" w:cs="Tahoma"/>
          <w:color w:val="000000"/>
          <w:sz w:val="22"/>
          <w:szCs w:val="22"/>
        </w:rPr>
        <w:t>According to the US Geological Survey (USGS), earthquakes can occur in every state, with the West Coast, Alaska</w:t>
      </w:r>
      <w:r w:rsidR="00F00C8E" w:rsidRPr="0084720E">
        <w:rPr>
          <w:rFonts w:ascii="Tahoma" w:hAnsi="Tahoma" w:cs="Tahoma"/>
          <w:color w:val="000000"/>
          <w:sz w:val="22"/>
          <w:szCs w:val="22"/>
        </w:rPr>
        <w:t>,</w:t>
      </w:r>
      <w:r w:rsidR="005C2664" w:rsidRPr="0084720E">
        <w:rPr>
          <w:rFonts w:ascii="Tahoma" w:hAnsi="Tahoma" w:cs="Tahoma"/>
          <w:color w:val="000000"/>
          <w:sz w:val="22"/>
          <w:szCs w:val="22"/>
        </w:rPr>
        <w:t xml:space="preserve"> Hawai’i, and regions across the central and southeastern U</w:t>
      </w:r>
      <w:r w:rsidR="00F00C8E" w:rsidRPr="0084720E">
        <w:rPr>
          <w:rFonts w:ascii="Tahoma" w:hAnsi="Tahoma" w:cs="Tahoma"/>
          <w:color w:val="000000"/>
          <w:sz w:val="22"/>
          <w:szCs w:val="22"/>
        </w:rPr>
        <w:t xml:space="preserve">nited </w:t>
      </w:r>
      <w:r w:rsidR="005C2664" w:rsidRPr="0084720E">
        <w:rPr>
          <w:rFonts w:ascii="Tahoma" w:hAnsi="Tahoma" w:cs="Tahoma"/>
          <w:color w:val="000000"/>
          <w:sz w:val="22"/>
          <w:szCs w:val="22"/>
        </w:rPr>
        <w:t>S</w:t>
      </w:r>
      <w:r w:rsidR="00F00C8E" w:rsidRPr="0084720E">
        <w:rPr>
          <w:rFonts w:ascii="Tahoma" w:hAnsi="Tahoma" w:cs="Tahoma"/>
          <w:color w:val="000000"/>
          <w:sz w:val="22"/>
          <w:szCs w:val="22"/>
        </w:rPr>
        <w:t>tates</w:t>
      </w:r>
      <w:r w:rsidR="005C2664" w:rsidRPr="0084720E">
        <w:rPr>
          <w:rFonts w:ascii="Tahoma" w:hAnsi="Tahoma" w:cs="Tahoma"/>
          <w:color w:val="000000"/>
          <w:sz w:val="22"/>
          <w:szCs w:val="22"/>
        </w:rPr>
        <w:t xml:space="preserve"> at the highest risk.</w:t>
      </w:r>
      <w:r w:rsidR="001C7FA6" w:rsidRPr="0084720E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BCB86FA" w14:textId="70F29EEB" w:rsidR="005C2664" w:rsidRPr="0084720E" w:rsidRDefault="001C7FA6" w:rsidP="00F00C8E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 w:rsidRPr="0084720E">
        <w:rPr>
          <w:rFonts w:ascii="Tahoma" w:hAnsi="Tahoma" w:cs="Tahoma"/>
          <w:color w:val="000000"/>
          <w:sz w:val="22"/>
          <w:szCs w:val="22"/>
        </w:rPr>
        <w:t>Fortunately, there are ways to prepare your workplace for when an earthquake does hap</w:t>
      </w:r>
      <w:bookmarkStart w:id="0" w:name="_GoBack"/>
      <w:bookmarkEnd w:id="0"/>
      <w:r w:rsidRPr="0084720E">
        <w:rPr>
          <w:rFonts w:ascii="Tahoma" w:hAnsi="Tahoma" w:cs="Tahoma"/>
          <w:color w:val="000000"/>
          <w:sz w:val="22"/>
          <w:szCs w:val="22"/>
        </w:rPr>
        <w:t>pen.</w:t>
      </w:r>
    </w:p>
    <w:p w14:paraId="6A05F2F8" w14:textId="26C7A3DF" w:rsidR="00011181" w:rsidRPr="0084720E" w:rsidRDefault="00176B7A" w:rsidP="00E62085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</w:rPr>
      </w:pPr>
      <w:r w:rsidRPr="0084720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274320" distL="182880" distR="114300" simplePos="0" relativeHeight="251663872" behindDoc="0" locked="0" layoutInCell="1" allowOverlap="1" wp14:anchorId="6CB158BE" wp14:editId="5CE68744">
                <wp:simplePos x="0" y="0"/>
                <wp:positionH relativeFrom="column">
                  <wp:posOffset>3781425</wp:posOffset>
                </wp:positionH>
                <wp:positionV relativeFrom="paragraph">
                  <wp:posOffset>168275</wp:posOffset>
                </wp:positionV>
                <wp:extent cx="1883664" cy="502920"/>
                <wp:effectExtent l="0" t="0" r="254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664" cy="502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A378CF" w14:textId="37D004DF" w:rsidR="002C64E1" w:rsidRPr="002C64E1" w:rsidRDefault="002C64E1" w:rsidP="002C64E1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C7FA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USGS </w:t>
                            </w:r>
                            <w:r w:rsidR="00C719C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map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indicates potential </w:t>
                            </w:r>
                            <w:r w:rsidR="00C719C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earthquake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strength, with darker areas indicating stronger quakes.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5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75pt;margin-top:13.25pt;width:148.3pt;height:39.6pt;z-index:251663872;visibility:visible;mso-wrap-style:square;mso-width-percent:0;mso-height-percent:0;mso-wrap-distance-left:14.4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" stroked="f">
                <v:textbox inset="0,0,0,0">
                  <w:txbxContent>
                    <w:p w14:paraId="2EA378CF" w14:textId="37D004DF" w:rsidR="002C64E1" w:rsidRPr="002C64E1" w:rsidRDefault="002C64E1" w:rsidP="002C64E1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C7FA6">
                        <w:rPr>
                          <w:rFonts w:ascii="Tahoma" w:hAnsi="Tahoma" w:cs="Tahoma"/>
                          <w:sz w:val="18"/>
                          <w:szCs w:val="18"/>
                        </w:rPr>
                        <w:t>This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USGS </w:t>
                      </w:r>
                      <w:r w:rsidR="00C719C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map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indicates potential </w:t>
                      </w:r>
                      <w:r w:rsidR="00C719C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earthquake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strength, with darker areas indicating stronger quakes.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color w:val="315CA3"/>
          <w:szCs w:val="32"/>
        </w:rPr>
        <w:t>W</w:t>
      </w:r>
      <w:r w:rsidR="005B7921" w:rsidRPr="0084720E">
        <w:rPr>
          <w:rFonts w:ascii="Tahoma" w:hAnsi="Tahoma" w:cs="Tahoma"/>
          <w:b/>
          <w:color w:val="315CA3"/>
          <w:szCs w:val="32"/>
        </w:rPr>
        <w:t>orkplace</w:t>
      </w:r>
      <w:r>
        <w:rPr>
          <w:rFonts w:ascii="Tahoma" w:hAnsi="Tahoma" w:cs="Tahoma"/>
          <w:b/>
          <w:color w:val="315CA3"/>
          <w:szCs w:val="32"/>
        </w:rPr>
        <w:t xml:space="preserve"> preparation</w:t>
      </w:r>
      <w:r w:rsidR="00717C34" w:rsidRPr="0084720E">
        <w:rPr>
          <w:rFonts w:ascii="Tahoma" w:hAnsi="Tahoma" w:cs="Tahoma"/>
          <w:b/>
          <w:color w:val="315CA3"/>
          <w:szCs w:val="32"/>
        </w:rPr>
        <w:t>:</w:t>
      </w:r>
    </w:p>
    <w:p w14:paraId="6FB546FD" w14:textId="554A026D" w:rsidR="003A5152" w:rsidRPr="00345B9D" w:rsidRDefault="00AA3C13" w:rsidP="003A5152">
      <w:pPr>
        <w:pStyle w:val="NormalWeb"/>
        <w:numPr>
          <w:ilvl w:val="0"/>
          <w:numId w:val="38"/>
        </w:numPr>
        <w:spacing w:before="0" w:beforeAutospacing="0" w:after="6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>Your</w:t>
      </w:r>
      <w:r w:rsidR="003A5152" w:rsidRPr="00345B9D">
        <w:rPr>
          <w:rFonts w:ascii="Tahoma" w:hAnsi="Tahoma" w:cs="Tahoma"/>
          <w:color w:val="000000" w:themeColor="text1"/>
          <w:sz w:val="22"/>
          <w:szCs w:val="22"/>
        </w:rPr>
        <w:t xml:space="preserve"> organization’s</w:t>
      </w:r>
      <w:r w:rsidR="00011181" w:rsidRPr="00345B9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E</w:t>
      </w:r>
      <w:r w:rsidR="00011181" w:rsidRPr="00345B9D">
        <w:rPr>
          <w:rFonts w:ascii="Tahoma" w:hAnsi="Tahoma" w:cs="Tahoma"/>
          <w:color w:val="000000" w:themeColor="text1"/>
          <w:sz w:val="22"/>
          <w:szCs w:val="22"/>
        </w:rPr>
        <w:t xml:space="preserve">mergency 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A</w:t>
      </w:r>
      <w:r w:rsidR="00011181" w:rsidRPr="00345B9D">
        <w:rPr>
          <w:rFonts w:ascii="Tahoma" w:hAnsi="Tahoma" w:cs="Tahoma"/>
          <w:color w:val="000000" w:themeColor="text1"/>
          <w:sz w:val="22"/>
          <w:szCs w:val="22"/>
        </w:rPr>
        <w:t xml:space="preserve">ction 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P</w:t>
      </w:r>
      <w:r w:rsidR="00011181" w:rsidRPr="00345B9D">
        <w:rPr>
          <w:rFonts w:ascii="Tahoma" w:hAnsi="Tahoma" w:cs="Tahoma"/>
          <w:color w:val="000000" w:themeColor="text1"/>
          <w:sz w:val="22"/>
          <w:szCs w:val="22"/>
        </w:rPr>
        <w:t>lan</w:t>
      </w:r>
      <w:r w:rsidR="00176B7A" w:rsidRPr="00345B9D">
        <w:rPr>
          <w:rFonts w:ascii="Tahoma" w:hAnsi="Tahoma" w:cs="Tahoma"/>
          <w:color w:val="000000" w:themeColor="text1"/>
          <w:sz w:val="22"/>
          <w:szCs w:val="22"/>
        </w:rPr>
        <w:t xml:space="preserve"> should</w:t>
      </w:r>
      <w:r w:rsidR="00011181" w:rsidRPr="00345B9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76B7A" w:rsidRPr="00345B9D">
        <w:rPr>
          <w:rFonts w:ascii="Tahoma" w:hAnsi="Tahoma" w:cs="Tahoma"/>
          <w:color w:val="000000" w:themeColor="text1"/>
          <w:sz w:val="22"/>
          <w:szCs w:val="22"/>
        </w:rPr>
        <w:t>include</w:t>
      </w:r>
      <w:r w:rsidR="003A5152" w:rsidRPr="00345B9D">
        <w:rPr>
          <w:rFonts w:ascii="Tahoma" w:hAnsi="Tahoma" w:cs="Tahoma"/>
          <w:color w:val="000000" w:themeColor="text1"/>
          <w:sz w:val="22"/>
          <w:szCs w:val="22"/>
        </w:rPr>
        <w:t xml:space="preserve"> the following:</w:t>
      </w:r>
    </w:p>
    <w:p w14:paraId="4777DE46" w14:textId="77777777" w:rsidR="003A5152" w:rsidRPr="00345B9D" w:rsidRDefault="003A5152" w:rsidP="003A5152">
      <w:pPr>
        <w:pStyle w:val="NormalWeb"/>
        <w:numPr>
          <w:ilvl w:val="0"/>
          <w:numId w:val="49"/>
        </w:numPr>
        <w:spacing w:before="0" w:beforeAutospacing="0" w:after="6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>I</w:t>
      </w:r>
      <w:r w:rsidR="00B947C1" w:rsidRPr="00345B9D">
        <w:rPr>
          <w:rFonts w:ascii="Tahoma" w:hAnsi="Tahoma" w:cs="Tahoma"/>
          <w:color w:val="000000" w:themeColor="text1"/>
          <w:sz w:val="22"/>
          <w:szCs w:val="22"/>
        </w:rPr>
        <w:t>nstructions to fo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llow during and after the event</w:t>
      </w:r>
    </w:p>
    <w:p w14:paraId="637F4E8C" w14:textId="77777777" w:rsidR="003A5152" w:rsidRPr="00345B9D" w:rsidRDefault="003A5152" w:rsidP="003A5152">
      <w:pPr>
        <w:pStyle w:val="NormalWeb"/>
        <w:numPr>
          <w:ilvl w:val="0"/>
          <w:numId w:val="49"/>
        </w:numPr>
        <w:spacing w:before="0" w:beforeAutospacing="0" w:after="6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>Evacuation procedures</w:t>
      </w:r>
    </w:p>
    <w:p w14:paraId="0D84B9BF" w14:textId="63948727" w:rsidR="005F0741" w:rsidRPr="00345B9D" w:rsidRDefault="003A5152" w:rsidP="003A5152">
      <w:pPr>
        <w:pStyle w:val="NormalWeb"/>
        <w:numPr>
          <w:ilvl w:val="0"/>
          <w:numId w:val="49"/>
        </w:numPr>
        <w:spacing w:before="0" w:beforeAutospacing="0" w:after="22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>M</w:t>
      </w:r>
      <w:r w:rsidR="00560899" w:rsidRPr="00345B9D">
        <w:rPr>
          <w:rFonts w:ascii="Tahoma" w:hAnsi="Tahoma" w:cs="Tahoma"/>
          <w:color w:val="000000" w:themeColor="text1"/>
          <w:sz w:val="22"/>
          <w:szCs w:val="22"/>
        </w:rPr>
        <w:t xml:space="preserve">edical and rescue duties 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for designated employees</w:t>
      </w:r>
    </w:p>
    <w:p w14:paraId="1BBABDA0" w14:textId="6AF674A7" w:rsidR="00C157A3" w:rsidRPr="00345B9D" w:rsidRDefault="00176B7A" w:rsidP="00467302">
      <w:pPr>
        <w:pStyle w:val="NormalWeb"/>
        <w:numPr>
          <w:ilvl w:val="0"/>
          <w:numId w:val="38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 xml:space="preserve">The plan </w:t>
      </w:r>
      <w:r w:rsidR="003A5152" w:rsidRPr="00345B9D">
        <w:rPr>
          <w:rFonts w:ascii="Tahoma" w:hAnsi="Tahoma" w:cs="Tahoma"/>
          <w:color w:val="000000" w:themeColor="text1"/>
          <w:sz w:val="22"/>
          <w:szCs w:val="22"/>
        </w:rPr>
        <w:t>must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 xml:space="preserve"> consider</w:t>
      </w:r>
      <w:r w:rsidR="00C157A3" w:rsidRPr="00345B9D">
        <w:rPr>
          <w:rFonts w:ascii="Tahoma" w:hAnsi="Tahoma" w:cs="Tahoma"/>
          <w:color w:val="000000" w:themeColor="text1"/>
          <w:sz w:val="22"/>
          <w:szCs w:val="22"/>
        </w:rPr>
        <w:t xml:space="preserve"> ground 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type and building construction</w:t>
      </w:r>
      <w:r w:rsidR="003A5152" w:rsidRPr="00345B9D">
        <w:rPr>
          <w:rFonts w:ascii="Tahoma" w:hAnsi="Tahoma" w:cs="Tahoma"/>
          <w:color w:val="000000" w:themeColor="text1"/>
          <w:sz w:val="22"/>
          <w:szCs w:val="22"/>
        </w:rPr>
        <w:t xml:space="preserve"> as c</w:t>
      </w:r>
      <w:r w:rsidR="00A64AC9" w:rsidRPr="00345B9D">
        <w:rPr>
          <w:rFonts w:ascii="Tahoma" w:hAnsi="Tahoma" w:cs="Tahoma"/>
          <w:color w:val="000000" w:themeColor="text1"/>
          <w:sz w:val="22"/>
          <w:szCs w:val="22"/>
        </w:rPr>
        <w:t xml:space="preserve">ertain ground types </w:t>
      </w:r>
      <w:r w:rsidR="005F0741" w:rsidRPr="00345B9D">
        <w:rPr>
          <w:rFonts w:ascii="Tahoma" w:hAnsi="Tahoma" w:cs="Tahoma"/>
          <w:color w:val="000000" w:themeColor="text1"/>
          <w:sz w:val="22"/>
          <w:szCs w:val="22"/>
        </w:rPr>
        <w:t>and</w:t>
      </w:r>
      <w:r w:rsidR="00B3779C" w:rsidRPr="00345B9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157A3" w:rsidRPr="00345B9D">
        <w:rPr>
          <w:rFonts w:ascii="Tahoma" w:hAnsi="Tahoma" w:cs="Tahoma"/>
          <w:color w:val="000000" w:themeColor="text1"/>
          <w:sz w:val="22"/>
          <w:szCs w:val="22"/>
        </w:rPr>
        <w:t xml:space="preserve">structures are more susceptible to </w:t>
      </w:r>
      <w:r w:rsidR="005F0741" w:rsidRPr="00345B9D">
        <w:rPr>
          <w:rFonts w:ascii="Tahoma" w:hAnsi="Tahoma" w:cs="Tahoma"/>
          <w:color w:val="000000" w:themeColor="text1"/>
          <w:sz w:val="22"/>
          <w:szCs w:val="22"/>
        </w:rPr>
        <w:t>collapse and damage</w:t>
      </w:r>
      <w:r w:rsidR="00C157A3" w:rsidRPr="00345B9D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447C0920" w14:textId="5D2E77B4" w:rsidR="00F44539" w:rsidRPr="00467302" w:rsidRDefault="00F44539" w:rsidP="00F44539">
      <w:pPr>
        <w:pStyle w:val="NormalWeb"/>
        <w:numPr>
          <w:ilvl w:val="0"/>
          <w:numId w:val="38"/>
        </w:numPr>
        <w:spacing w:before="0" w:beforeAutospacing="0" w:after="26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F44539">
        <w:rPr>
          <w:rFonts w:ascii="Tahoma" w:hAnsi="Tahoma" w:cs="Tahoma"/>
          <w:sz w:val="22"/>
          <w:szCs w:val="22"/>
        </w:rPr>
        <w:t xml:space="preserve">Emergency supply kits should be placed throughout the </w:t>
      </w:r>
      <w:r w:rsidRPr="0084720E">
        <w:rPr>
          <w:rFonts w:ascii="Tahoma" w:hAnsi="Tahoma" w:cs="Tahoma"/>
          <w:color w:val="000000"/>
          <w:sz w:val="22"/>
          <w:szCs w:val="22"/>
        </w:rPr>
        <w:t>workplace</w:t>
      </w:r>
      <w:r w:rsidR="003A5152">
        <w:rPr>
          <w:rFonts w:ascii="Tahoma" w:hAnsi="Tahoma" w:cs="Tahoma"/>
          <w:color w:val="000000"/>
          <w:sz w:val="22"/>
          <w:szCs w:val="22"/>
        </w:rPr>
        <w:t xml:space="preserve"> with </w:t>
      </w:r>
      <w:r w:rsidRPr="0084720E">
        <w:rPr>
          <w:rFonts w:ascii="Tahoma" w:hAnsi="Tahoma" w:cs="Tahoma"/>
          <w:color w:val="000000"/>
          <w:sz w:val="22"/>
          <w:szCs w:val="22"/>
        </w:rPr>
        <w:t>such items as flashlights or light sticks, first aid kits and handbooks, blankets, bottled water, dust masks, and fire extinguishers.</w:t>
      </w:r>
    </w:p>
    <w:p w14:paraId="362A0E0F" w14:textId="77777777" w:rsidR="0030693D" w:rsidRPr="00345B9D" w:rsidRDefault="0030693D" w:rsidP="0030693D">
      <w:pPr>
        <w:pStyle w:val="NormalWeb"/>
        <w:numPr>
          <w:ilvl w:val="0"/>
          <w:numId w:val="38"/>
        </w:numPr>
        <w:spacing w:before="0" w:beforeAutospacing="0" w:after="60" w:afterAutospacing="0"/>
        <w:ind w:left="45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 xml:space="preserve">Assure that you complete the necessary training: </w:t>
      </w:r>
    </w:p>
    <w:p w14:paraId="6E49D19A" w14:textId="1982F489" w:rsidR="0030693D" w:rsidRPr="00345B9D" w:rsidRDefault="0030693D" w:rsidP="0030693D">
      <w:pPr>
        <w:pStyle w:val="NormalWeb"/>
        <w:numPr>
          <w:ilvl w:val="0"/>
          <w:numId w:val="48"/>
        </w:numPr>
        <w:spacing w:before="0" w:beforeAutospacing="0" w:after="60" w:afterAutospacing="0"/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 xml:space="preserve">Everyone should be trained in </w:t>
      </w:r>
      <w:r w:rsidR="00F44539" w:rsidRPr="00345B9D">
        <w:rPr>
          <w:rFonts w:ascii="Tahoma" w:hAnsi="Tahoma" w:cs="Tahoma"/>
          <w:color w:val="000000" w:themeColor="text1"/>
          <w:sz w:val="22"/>
          <w:szCs w:val="22"/>
        </w:rPr>
        <w:t xml:space="preserve">earthquake response procedures, designated safe places, 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evacuation plans</w:t>
      </w:r>
      <w:r w:rsidR="00F44539" w:rsidRPr="00345B9D">
        <w:rPr>
          <w:rFonts w:ascii="Tahoma" w:hAnsi="Tahoma" w:cs="Tahoma"/>
          <w:color w:val="000000" w:themeColor="text1"/>
          <w:sz w:val="22"/>
          <w:szCs w:val="22"/>
        </w:rPr>
        <w:t>, and the location of emergency supply kits</w:t>
      </w:r>
      <w:r w:rsidRPr="00345B9D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04C039D" w14:textId="2BF7F5BB" w:rsidR="00D26C2D" w:rsidRPr="00345B9D" w:rsidRDefault="0030693D" w:rsidP="00F44539">
      <w:pPr>
        <w:pStyle w:val="NormalWeb"/>
        <w:numPr>
          <w:ilvl w:val="0"/>
          <w:numId w:val="48"/>
        </w:numPr>
        <w:spacing w:before="0" w:beforeAutospacing="0" w:after="400" w:afterAutospacing="0"/>
        <w:ind w:left="892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 xml:space="preserve">Designated employees can be trained in </w:t>
      </w:r>
      <w:r w:rsidR="00FC17C3" w:rsidRPr="00345B9D">
        <w:rPr>
          <w:rFonts w:ascii="Tahoma" w:hAnsi="Tahoma" w:cs="Tahoma"/>
          <w:color w:val="000000" w:themeColor="text1"/>
          <w:sz w:val="22"/>
          <w:szCs w:val="22"/>
        </w:rPr>
        <w:t>first aid and fire extinguisher use.</w:t>
      </w:r>
    </w:p>
    <w:p w14:paraId="7E2914CF" w14:textId="38E64019" w:rsidR="00561C52" w:rsidRPr="0084720E" w:rsidRDefault="0084720E" w:rsidP="00E62085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</w:rPr>
      </w:pPr>
      <w:r w:rsidRPr="0084720E">
        <w:rPr>
          <w:rFonts w:ascii="Tahoma" w:hAnsi="Tahoma" w:cs="Tahoma"/>
          <w:b/>
          <w:color w:val="315CA3"/>
          <w:szCs w:val="32"/>
        </w:rPr>
        <w:t>During an earthquake</w:t>
      </w:r>
      <w:r w:rsidR="00561C52" w:rsidRPr="0084720E">
        <w:rPr>
          <w:rFonts w:ascii="Tahoma" w:hAnsi="Tahoma" w:cs="Tahoma"/>
          <w:b/>
          <w:color w:val="315CA3"/>
          <w:szCs w:val="32"/>
        </w:rPr>
        <w:t>:</w:t>
      </w:r>
    </w:p>
    <w:p w14:paraId="4EBED372" w14:textId="2FAF1DE0" w:rsidR="00E767F7" w:rsidRPr="00345B9D" w:rsidRDefault="00A64AC9" w:rsidP="00467302">
      <w:pPr>
        <w:pStyle w:val="NormalWeb"/>
        <w:numPr>
          <w:ilvl w:val="0"/>
          <w:numId w:val="45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84720E">
        <w:rPr>
          <w:rFonts w:ascii="Tahoma" w:hAnsi="Tahoma" w:cs="Tahoma"/>
          <w:sz w:val="22"/>
          <w:szCs w:val="22"/>
        </w:rPr>
        <w:t>At</w:t>
      </w:r>
      <w:r w:rsidR="00C92705" w:rsidRPr="0084720E">
        <w:rPr>
          <w:rFonts w:ascii="Tahoma" w:hAnsi="Tahoma" w:cs="Tahoma"/>
          <w:sz w:val="22"/>
          <w:szCs w:val="22"/>
        </w:rPr>
        <w:t xml:space="preserve"> the</w:t>
      </w:r>
      <w:r w:rsidRPr="0084720E">
        <w:rPr>
          <w:rFonts w:ascii="Tahoma" w:hAnsi="Tahoma" w:cs="Tahoma"/>
          <w:sz w:val="22"/>
          <w:szCs w:val="22"/>
        </w:rPr>
        <w:t xml:space="preserve"> first sign of an</w:t>
      </w:r>
      <w:r w:rsidR="00A90FE5" w:rsidRPr="0084720E">
        <w:rPr>
          <w:rFonts w:ascii="Tahoma" w:hAnsi="Tahoma" w:cs="Tahoma"/>
          <w:sz w:val="22"/>
          <w:szCs w:val="22"/>
        </w:rPr>
        <w:t xml:space="preserve"> earthquake, </w:t>
      </w:r>
      <w:r w:rsidR="0037249B" w:rsidRPr="0084720E">
        <w:rPr>
          <w:rFonts w:ascii="Tahoma" w:hAnsi="Tahoma" w:cs="Tahoma"/>
          <w:sz w:val="22"/>
          <w:szCs w:val="22"/>
        </w:rPr>
        <w:t>go</w:t>
      </w:r>
      <w:r w:rsidR="00A90FE5" w:rsidRPr="0084720E">
        <w:rPr>
          <w:rFonts w:ascii="Tahoma" w:hAnsi="Tahoma" w:cs="Tahoma"/>
          <w:sz w:val="22"/>
          <w:szCs w:val="22"/>
        </w:rPr>
        <w:t xml:space="preserve"> to a safe </w:t>
      </w:r>
      <w:r w:rsidR="0037249B" w:rsidRPr="00345B9D">
        <w:rPr>
          <w:rFonts w:ascii="Tahoma" w:hAnsi="Tahoma" w:cs="Tahoma"/>
          <w:color w:val="000000" w:themeColor="text1"/>
          <w:sz w:val="22"/>
          <w:szCs w:val="22"/>
        </w:rPr>
        <w:t>place</w:t>
      </w:r>
      <w:r w:rsidR="00E767F7" w:rsidRPr="00345B9D">
        <w:rPr>
          <w:rFonts w:ascii="Tahoma" w:hAnsi="Tahoma" w:cs="Tahoma"/>
          <w:color w:val="000000" w:themeColor="text1"/>
          <w:sz w:val="22"/>
          <w:szCs w:val="22"/>
        </w:rPr>
        <w:t xml:space="preserve">, ideally a sturdy table or desk. </w:t>
      </w:r>
    </w:p>
    <w:p w14:paraId="34C78021" w14:textId="4AC65966" w:rsidR="00E767F7" w:rsidRPr="00345B9D" w:rsidRDefault="0084720E" w:rsidP="00467302">
      <w:pPr>
        <w:pStyle w:val="NormalWeb"/>
        <w:numPr>
          <w:ilvl w:val="0"/>
          <w:numId w:val="45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45B9D">
        <w:rPr>
          <w:rFonts w:ascii="Tahoma" w:hAnsi="Tahoma" w:cs="Tahoma"/>
          <w:b/>
          <w:color w:val="000000" w:themeColor="text1"/>
          <w:sz w:val="22"/>
          <w:szCs w:val="22"/>
        </w:rPr>
        <w:t xml:space="preserve">Drop, cover, and hold on: </w:t>
      </w:r>
      <w:r w:rsidR="00E767F7" w:rsidRPr="00345B9D">
        <w:rPr>
          <w:rFonts w:ascii="Tahoma" w:hAnsi="Tahoma" w:cs="Tahoma"/>
          <w:color w:val="000000" w:themeColor="text1"/>
          <w:sz w:val="22"/>
          <w:szCs w:val="22"/>
        </w:rPr>
        <w:t xml:space="preserve">Drop down, </w:t>
      </w:r>
      <w:r w:rsidR="00A90FE5" w:rsidRPr="00345B9D">
        <w:rPr>
          <w:rFonts w:ascii="Tahoma" w:hAnsi="Tahoma" w:cs="Tahoma"/>
          <w:color w:val="000000" w:themeColor="text1"/>
          <w:sz w:val="22"/>
          <w:szCs w:val="22"/>
        </w:rPr>
        <w:t>take cover underneath</w:t>
      </w:r>
      <w:r w:rsidR="00E767F7" w:rsidRPr="00345B9D">
        <w:rPr>
          <w:rFonts w:ascii="Tahoma" w:hAnsi="Tahoma" w:cs="Tahoma"/>
          <w:color w:val="000000" w:themeColor="text1"/>
          <w:sz w:val="22"/>
          <w:szCs w:val="22"/>
        </w:rPr>
        <w:t xml:space="preserve"> the safe structure</w:t>
      </w:r>
      <w:r w:rsidR="00A90FE5" w:rsidRPr="00345B9D">
        <w:rPr>
          <w:rFonts w:ascii="Tahoma" w:hAnsi="Tahoma" w:cs="Tahoma"/>
          <w:color w:val="000000" w:themeColor="text1"/>
          <w:sz w:val="22"/>
          <w:szCs w:val="22"/>
        </w:rPr>
        <w:t>, and hold on</w:t>
      </w:r>
      <w:r w:rsidR="00E767F7" w:rsidRPr="00345B9D">
        <w:rPr>
          <w:rFonts w:ascii="Tahoma" w:hAnsi="Tahoma" w:cs="Tahoma"/>
          <w:color w:val="000000" w:themeColor="text1"/>
          <w:sz w:val="22"/>
          <w:szCs w:val="22"/>
        </w:rPr>
        <w:t>to something stu</w:t>
      </w:r>
      <w:r w:rsidR="001F7210" w:rsidRPr="00345B9D">
        <w:rPr>
          <w:rFonts w:ascii="Tahoma" w:hAnsi="Tahoma" w:cs="Tahoma"/>
          <w:color w:val="000000" w:themeColor="text1"/>
          <w:sz w:val="22"/>
          <w:szCs w:val="22"/>
        </w:rPr>
        <w:t>r</w:t>
      </w:r>
      <w:r w:rsidR="00E767F7" w:rsidRPr="00345B9D">
        <w:rPr>
          <w:rFonts w:ascii="Tahoma" w:hAnsi="Tahoma" w:cs="Tahoma"/>
          <w:color w:val="000000" w:themeColor="text1"/>
          <w:sz w:val="22"/>
          <w:szCs w:val="22"/>
        </w:rPr>
        <w:t xml:space="preserve">dy, e.g., </w:t>
      </w:r>
      <w:r w:rsidR="00A90FE5" w:rsidRPr="00345B9D">
        <w:rPr>
          <w:rFonts w:ascii="Tahoma" w:hAnsi="Tahoma" w:cs="Tahoma"/>
          <w:color w:val="000000" w:themeColor="text1"/>
          <w:sz w:val="22"/>
          <w:szCs w:val="22"/>
        </w:rPr>
        <w:t xml:space="preserve">one of the table or desk legs. </w:t>
      </w:r>
    </w:p>
    <w:p w14:paraId="160DB2F8" w14:textId="3F12F98E" w:rsidR="00E767F7" w:rsidRPr="0084720E" w:rsidRDefault="00E767F7" w:rsidP="00467302">
      <w:pPr>
        <w:pStyle w:val="NormalWeb"/>
        <w:numPr>
          <w:ilvl w:val="0"/>
          <w:numId w:val="45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45B9D">
        <w:rPr>
          <w:rFonts w:ascii="Tahoma" w:hAnsi="Tahoma" w:cs="Tahoma"/>
          <w:color w:val="000000" w:themeColor="text1"/>
          <w:sz w:val="22"/>
          <w:szCs w:val="22"/>
        </w:rPr>
        <w:t xml:space="preserve">If there are no desks or tables available that you can shelter </w:t>
      </w:r>
      <w:r w:rsidRPr="0084720E">
        <w:rPr>
          <w:rFonts w:ascii="Tahoma" w:hAnsi="Tahoma" w:cs="Tahoma"/>
          <w:sz w:val="22"/>
          <w:szCs w:val="22"/>
        </w:rPr>
        <w:t xml:space="preserve">under, </w:t>
      </w:r>
      <w:r w:rsidRPr="00C05AA8">
        <w:rPr>
          <w:rFonts w:ascii="Tahoma" w:hAnsi="Tahoma" w:cs="Tahoma"/>
          <w:sz w:val="22"/>
          <w:szCs w:val="22"/>
        </w:rPr>
        <w:t xml:space="preserve">brace </w:t>
      </w:r>
      <w:r w:rsidRPr="0084720E">
        <w:rPr>
          <w:rFonts w:ascii="Tahoma" w:hAnsi="Tahoma" w:cs="Tahoma"/>
          <w:sz w:val="22"/>
          <w:szCs w:val="22"/>
        </w:rPr>
        <w:t>against an interior wall away from windows, hanging structures, and tall furniture.</w:t>
      </w:r>
    </w:p>
    <w:p w14:paraId="54419C8F" w14:textId="77777777" w:rsidR="0084720E" w:rsidRPr="0084720E" w:rsidRDefault="0084720E" w:rsidP="00467302">
      <w:pPr>
        <w:pStyle w:val="NormalWeb"/>
        <w:numPr>
          <w:ilvl w:val="0"/>
          <w:numId w:val="45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84720E">
        <w:rPr>
          <w:rFonts w:ascii="Tahoma" w:hAnsi="Tahoma" w:cs="Tahoma"/>
          <w:sz w:val="22"/>
          <w:szCs w:val="22"/>
        </w:rPr>
        <w:t>Make sure to keep your head and neck covered.</w:t>
      </w:r>
    </w:p>
    <w:p w14:paraId="6FE32F8F" w14:textId="77777777" w:rsidR="0084720E" w:rsidRPr="0084720E" w:rsidRDefault="0084720E" w:rsidP="0084720E">
      <w:pPr>
        <w:pStyle w:val="ColorfulList-Accent11"/>
        <w:numPr>
          <w:ilvl w:val="0"/>
          <w:numId w:val="45"/>
        </w:numPr>
        <w:spacing w:after="400" w:line="240" w:lineRule="auto"/>
        <w:ind w:left="446" w:hanging="446"/>
        <w:contextualSpacing w:val="0"/>
        <w:rPr>
          <w:rFonts w:ascii="Tahoma" w:hAnsi="Tahoma" w:cs="Tahoma"/>
        </w:rPr>
      </w:pPr>
      <w:r w:rsidRPr="0084720E">
        <w:rPr>
          <w:rFonts w:ascii="Tahoma" w:hAnsi="Tahoma" w:cs="Tahoma"/>
        </w:rPr>
        <w:t>If you are outside when an earthquake happens, stay outside and keep clear from buildings, trees, or overhead objects (e.g., power lines or street lights).</w:t>
      </w:r>
    </w:p>
    <w:p w14:paraId="3A79F8FF" w14:textId="52D2ED1C" w:rsidR="00CC05F1" w:rsidRPr="0084720E" w:rsidRDefault="004A3DB1" w:rsidP="00E62085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</w:rPr>
      </w:pPr>
      <w:r w:rsidRPr="0084720E">
        <w:rPr>
          <w:rFonts w:ascii="Tahoma" w:hAnsi="Tahoma" w:cs="Tahoma"/>
          <w:b/>
          <w:color w:val="315CA3"/>
          <w:szCs w:val="32"/>
        </w:rPr>
        <w:lastRenderedPageBreak/>
        <w:t>A</w:t>
      </w:r>
      <w:r w:rsidR="00FC17C3" w:rsidRPr="0084720E">
        <w:rPr>
          <w:rFonts w:ascii="Tahoma" w:hAnsi="Tahoma" w:cs="Tahoma"/>
          <w:b/>
          <w:color w:val="315CA3"/>
          <w:szCs w:val="32"/>
        </w:rPr>
        <w:t>fter an earthquake occurs</w:t>
      </w:r>
      <w:r w:rsidR="00CC05F1" w:rsidRPr="0084720E">
        <w:rPr>
          <w:rFonts w:ascii="Tahoma" w:hAnsi="Tahoma" w:cs="Tahoma"/>
          <w:b/>
          <w:color w:val="315CA3"/>
          <w:szCs w:val="32"/>
        </w:rPr>
        <w:t>:</w:t>
      </w:r>
    </w:p>
    <w:p w14:paraId="74522B52" w14:textId="1067955F" w:rsidR="00DC7660" w:rsidRPr="0084720E" w:rsidRDefault="00E80B9B" w:rsidP="001761C9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84720E">
        <w:rPr>
          <w:rFonts w:ascii="Tahoma" w:hAnsi="Tahoma" w:cs="Tahoma"/>
          <w:b/>
        </w:rPr>
        <w:t>Do not leave the shelter until the shaking has completely stopped</w:t>
      </w:r>
      <w:r w:rsidRPr="0084720E">
        <w:rPr>
          <w:rFonts w:ascii="Tahoma" w:hAnsi="Tahoma" w:cs="Tahoma"/>
        </w:rPr>
        <w:t xml:space="preserve">. </w:t>
      </w:r>
    </w:p>
    <w:p w14:paraId="0284C712" w14:textId="799ED2E9" w:rsidR="0084720E" w:rsidRPr="0084720E" w:rsidRDefault="0084720E" w:rsidP="0084720E">
      <w:pPr>
        <w:pStyle w:val="NormalWeb"/>
        <w:numPr>
          <w:ilvl w:val="0"/>
          <w:numId w:val="28"/>
        </w:numPr>
        <w:spacing w:before="0" w:beforeAutospacing="0" w:after="120" w:afterAutospacing="0"/>
        <w:ind w:left="450" w:hanging="446"/>
        <w:rPr>
          <w:rFonts w:ascii="Tahoma" w:hAnsi="Tahoma" w:cs="Tahoma"/>
          <w:sz w:val="22"/>
          <w:szCs w:val="22"/>
        </w:rPr>
      </w:pPr>
      <w:r w:rsidRPr="0084720E">
        <w:rPr>
          <w:rFonts w:ascii="Tahoma" w:hAnsi="Tahoma" w:cs="Tahoma"/>
          <w:sz w:val="22"/>
          <w:szCs w:val="22"/>
        </w:rPr>
        <w:t>When emerging from your shelter:</w:t>
      </w:r>
    </w:p>
    <w:p w14:paraId="50B11961" w14:textId="5EFC6E38" w:rsidR="0037249B" w:rsidRPr="0084720E" w:rsidRDefault="0037249B" w:rsidP="0084720E">
      <w:pPr>
        <w:pStyle w:val="NormalWeb"/>
        <w:numPr>
          <w:ilvl w:val="0"/>
          <w:numId w:val="47"/>
        </w:numPr>
        <w:spacing w:before="0" w:beforeAutospacing="0" w:after="120" w:afterAutospacing="0"/>
        <w:ind w:left="900" w:hanging="446"/>
        <w:rPr>
          <w:rFonts w:ascii="Tahoma" w:hAnsi="Tahoma" w:cs="Tahoma"/>
          <w:sz w:val="22"/>
          <w:szCs w:val="22"/>
        </w:rPr>
      </w:pPr>
      <w:r w:rsidRPr="0084720E">
        <w:rPr>
          <w:rFonts w:ascii="Tahoma" w:hAnsi="Tahoma" w:cs="Tahoma"/>
          <w:sz w:val="22"/>
          <w:szCs w:val="22"/>
        </w:rPr>
        <w:t xml:space="preserve">Be </w:t>
      </w:r>
      <w:r w:rsidR="0084720E" w:rsidRPr="0084720E">
        <w:rPr>
          <w:rFonts w:ascii="Tahoma" w:hAnsi="Tahoma" w:cs="Tahoma"/>
          <w:sz w:val="22"/>
          <w:szCs w:val="22"/>
        </w:rPr>
        <w:t>wary of aftershocks.</w:t>
      </w:r>
    </w:p>
    <w:p w14:paraId="0F54DD15" w14:textId="19D863CE" w:rsidR="001C625C" w:rsidRPr="0084720E" w:rsidRDefault="001761C9" w:rsidP="0084720E">
      <w:pPr>
        <w:pStyle w:val="ColorfulList-Accent11"/>
        <w:numPr>
          <w:ilvl w:val="0"/>
          <w:numId w:val="47"/>
        </w:numPr>
        <w:spacing w:after="260" w:line="240" w:lineRule="auto"/>
        <w:ind w:left="900" w:hanging="450"/>
        <w:contextualSpacing w:val="0"/>
        <w:rPr>
          <w:rFonts w:ascii="Tahoma" w:hAnsi="Tahoma" w:cs="Tahoma"/>
        </w:rPr>
      </w:pPr>
      <w:r w:rsidRPr="0084720E">
        <w:rPr>
          <w:rFonts w:ascii="Tahoma" w:hAnsi="Tahoma" w:cs="Tahoma"/>
        </w:rPr>
        <w:t>Watch</w:t>
      </w:r>
      <w:r w:rsidR="00DE5E62" w:rsidRPr="0084720E">
        <w:rPr>
          <w:rFonts w:ascii="Tahoma" w:hAnsi="Tahoma" w:cs="Tahoma"/>
        </w:rPr>
        <w:t xml:space="preserve"> out for fire</w:t>
      </w:r>
      <w:r w:rsidR="003A3BC5" w:rsidRPr="0084720E">
        <w:rPr>
          <w:rFonts w:ascii="Tahoma" w:hAnsi="Tahoma" w:cs="Tahoma"/>
        </w:rPr>
        <w:t>s, which may be caused by broken gas or electrical lines or appliances</w:t>
      </w:r>
      <w:r w:rsidR="001C625C" w:rsidRPr="0084720E">
        <w:rPr>
          <w:rFonts w:ascii="Tahoma" w:hAnsi="Tahoma" w:cs="Tahoma"/>
        </w:rPr>
        <w:t>.</w:t>
      </w:r>
    </w:p>
    <w:p w14:paraId="45B21E82" w14:textId="77777777" w:rsidR="001C625C" w:rsidRPr="0084720E" w:rsidRDefault="001C625C" w:rsidP="0084720E">
      <w:pPr>
        <w:pStyle w:val="ColorfulList-Accent11"/>
        <w:numPr>
          <w:ilvl w:val="0"/>
          <w:numId w:val="28"/>
        </w:numPr>
        <w:spacing w:after="400" w:line="240" w:lineRule="auto"/>
        <w:ind w:left="446" w:hanging="446"/>
        <w:contextualSpacing w:val="0"/>
        <w:rPr>
          <w:rFonts w:ascii="Tahoma" w:hAnsi="Tahoma" w:cs="Tahoma"/>
        </w:rPr>
      </w:pPr>
      <w:r w:rsidRPr="0084720E">
        <w:rPr>
          <w:rFonts w:ascii="Tahoma" w:hAnsi="Tahoma" w:cs="Tahoma"/>
        </w:rPr>
        <w:t>If you need to leave the building, use the stairs.</w:t>
      </w:r>
    </w:p>
    <w:p w14:paraId="69262DA7" w14:textId="40204B09" w:rsidR="00467302" w:rsidRPr="0084720E" w:rsidRDefault="00467302" w:rsidP="00467302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</w:rPr>
      </w:pPr>
      <w:r w:rsidRPr="0084720E">
        <w:rPr>
          <w:rFonts w:ascii="Tahoma" w:hAnsi="Tahoma" w:cs="Tahoma"/>
          <w:b/>
          <w:color w:val="315CA3"/>
          <w:szCs w:val="32"/>
        </w:rPr>
        <w:t>Aftershocks:</w:t>
      </w:r>
    </w:p>
    <w:p w14:paraId="78B241EA" w14:textId="396A0EDD" w:rsidR="00467302" w:rsidRPr="0084720E" w:rsidRDefault="00467302" w:rsidP="00467302">
      <w:pPr>
        <w:pStyle w:val="NormalWeb"/>
        <w:numPr>
          <w:ilvl w:val="0"/>
          <w:numId w:val="38"/>
        </w:numPr>
        <w:spacing w:before="0" w:beforeAutospacing="0" w:after="260" w:afterAutospacing="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84720E">
        <w:rPr>
          <w:rFonts w:ascii="Tahoma" w:hAnsi="Tahoma" w:cs="Tahoma"/>
          <w:color w:val="000000" w:themeColor="text1"/>
          <w:sz w:val="22"/>
          <w:szCs w:val="22"/>
        </w:rPr>
        <w:t xml:space="preserve">Aftershocks follow earthquakes. They are smaller than the earthquake but can still cause damage to weakened structures. </w:t>
      </w:r>
    </w:p>
    <w:p w14:paraId="6997AB5C" w14:textId="57578370" w:rsidR="00467302" w:rsidRPr="0084720E" w:rsidRDefault="00467302" w:rsidP="00467302">
      <w:pPr>
        <w:pStyle w:val="NormalWeb"/>
        <w:numPr>
          <w:ilvl w:val="0"/>
          <w:numId w:val="38"/>
        </w:numPr>
        <w:spacing w:before="0" w:beforeAutospacing="0" w:after="400" w:afterAutospacing="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84720E">
        <w:rPr>
          <w:rFonts w:ascii="Tahoma" w:hAnsi="Tahoma" w:cs="Tahoma"/>
          <w:color w:val="000000" w:themeColor="text1"/>
          <w:sz w:val="22"/>
          <w:szCs w:val="22"/>
        </w:rPr>
        <w:t>Aftershocks are difficult to predict and can occur within a couple minutes to several hours, days, months, or even years of the main quake.</w:t>
      </w:r>
    </w:p>
    <w:p w14:paraId="2A7ED07E" w14:textId="32B82810" w:rsidR="00D914E9" w:rsidRPr="0084720E" w:rsidRDefault="00467302" w:rsidP="00E62085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</w:rPr>
      </w:pPr>
      <w:r>
        <w:rPr>
          <w:rFonts w:ascii="Tahoma" w:hAnsi="Tahoma" w:cs="Tahoma"/>
          <w:b/>
          <w:color w:val="315CA3"/>
          <w:szCs w:val="32"/>
        </w:rPr>
        <w:t>Evacuations</w:t>
      </w:r>
      <w:r w:rsidR="00D914E9" w:rsidRPr="0084720E">
        <w:rPr>
          <w:rFonts w:ascii="Tahoma" w:hAnsi="Tahoma" w:cs="Tahoma"/>
          <w:b/>
          <w:color w:val="315CA3"/>
          <w:szCs w:val="32"/>
        </w:rPr>
        <w:t>:</w:t>
      </w:r>
    </w:p>
    <w:p w14:paraId="1CBE6B94" w14:textId="5DE5BF8F" w:rsidR="0037249B" w:rsidRPr="0084720E" w:rsidRDefault="000946D5" w:rsidP="00467302">
      <w:pPr>
        <w:pStyle w:val="NormalWeb"/>
        <w:numPr>
          <w:ilvl w:val="0"/>
          <w:numId w:val="39"/>
        </w:numPr>
        <w:spacing w:before="0" w:beforeAutospacing="0" w:after="24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182880" distL="182880" distR="114300" simplePos="0" relativeHeight="251664896" behindDoc="0" locked="0" layoutInCell="1" allowOverlap="1" wp14:anchorId="297FF424" wp14:editId="4E466557">
            <wp:simplePos x="0" y="0"/>
            <wp:positionH relativeFrom="column">
              <wp:posOffset>3400425</wp:posOffset>
            </wp:positionH>
            <wp:positionV relativeFrom="paragraph">
              <wp:posOffset>7620</wp:posOffset>
            </wp:positionV>
            <wp:extent cx="2566670" cy="171069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ergency_Exit_120209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9B" w:rsidRPr="0084720E">
        <w:rPr>
          <w:rFonts w:ascii="Tahoma" w:hAnsi="Tahoma" w:cs="Tahoma"/>
          <w:sz w:val="22"/>
          <w:szCs w:val="22"/>
        </w:rPr>
        <w:t>If instructed to evacuate, do so immediately—do not linger in weakened structures.</w:t>
      </w:r>
    </w:p>
    <w:p w14:paraId="5E114578" w14:textId="59868FEC" w:rsidR="00FC23F0" w:rsidRPr="0084720E" w:rsidRDefault="00D914E9" w:rsidP="00467302">
      <w:pPr>
        <w:pStyle w:val="NormalWeb"/>
        <w:numPr>
          <w:ilvl w:val="0"/>
          <w:numId w:val="39"/>
        </w:numPr>
        <w:spacing w:before="0" w:beforeAutospacing="0" w:after="240" w:afterAutospacing="0"/>
        <w:ind w:left="446" w:hanging="446"/>
        <w:rPr>
          <w:rFonts w:ascii="Tahoma" w:hAnsi="Tahoma" w:cs="Tahoma"/>
          <w:sz w:val="22"/>
          <w:szCs w:val="22"/>
        </w:rPr>
      </w:pPr>
      <w:r w:rsidRPr="0084720E">
        <w:rPr>
          <w:rFonts w:ascii="Tahoma" w:hAnsi="Tahoma" w:cs="Tahoma"/>
          <w:sz w:val="22"/>
          <w:szCs w:val="22"/>
        </w:rPr>
        <w:t xml:space="preserve">Only evacuate as instructed by emergency response </w:t>
      </w:r>
      <w:r w:rsidR="00F652C7" w:rsidRPr="0084720E">
        <w:rPr>
          <w:rFonts w:ascii="Tahoma" w:hAnsi="Tahoma" w:cs="Tahoma"/>
          <w:sz w:val="22"/>
          <w:szCs w:val="22"/>
        </w:rPr>
        <w:t>personnel</w:t>
      </w:r>
      <w:r w:rsidRPr="0084720E">
        <w:rPr>
          <w:rFonts w:ascii="Tahoma" w:hAnsi="Tahoma" w:cs="Tahoma"/>
          <w:sz w:val="22"/>
          <w:szCs w:val="22"/>
        </w:rPr>
        <w:t>, or if an</w:t>
      </w:r>
      <w:r w:rsidR="004A6435" w:rsidRPr="0084720E">
        <w:rPr>
          <w:rFonts w:ascii="Tahoma" w:hAnsi="Tahoma" w:cs="Tahoma"/>
          <w:sz w:val="22"/>
          <w:szCs w:val="22"/>
        </w:rPr>
        <w:t>other safe location can be reached before any event is expected to occur.</w:t>
      </w:r>
    </w:p>
    <w:p w14:paraId="57A2E250" w14:textId="5A742374" w:rsidR="00F652C7" w:rsidRPr="0084720E" w:rsidRDefault="00F652C7" w:rsidP="001761C9">
      <w:pPr>
        <w:pStyle w:val="NormalWeb"/>
        <w:numPr>
          <w:ilvl w:val="0"/>
          <w:numId w:val="39"/>
        </w:numPr>
        <w:spacing w:before="0" w:beforeAutospacing="0" w:after="400" w:afterAutospacing="0"/>
        <w:ind w:left="450" w:hanging="450"/>
        <w:rPr>
          <w:rFonts w:ascii="Tahoma" w:hAnsi="Tahoma" w:cs="Tahoma"/>
          <w:sz w:val="22"/>
          <w:szCs w:val="22"/>
        </w:rPr>
      </w:pPr>
      <w:r w:rsidRPr="0084720E">
        <w:rPr>
          <w:rFonts w:ascii="Tahoma" w:hAnsi="Tahoma" w:cs="Tahoma"/>
          <w:sz w:val="22"/>
          <w:szCs w:val="22"/>
        </w:rPr>
        <w:t xml:space="preserve">Follow any evacuation plans and routes put in place as part of </w:t>
      </w:r>
      <w:r w:rsidR="00467302">
        <w:rPr>
          <w:rFonts w:ascii="Tahoma" w:hAnsi="Tahoma" w:cs="Tahoma"/>
          <w:sz w:val="22"/>
          <w:szCs w:val="22"/>
        </w:rPr>
        <w:t>the</w:t>
      </w:r>
      <w:r w:rsidRPr="0084720E">
        <w:rPr>
          <w:rFonts w:ascii="Tahoma" w:hAnsi="Tahoma" w:cs="Tahoma"/>
          <w:sz w:val="22"/>
          <w:szCs w:val="22"/>
        </w:rPr>
        <w:t xml:space="preserve"> </w:t>
      </w:r>
      <w:r w:rsidR="00467302">
        <w:rPr>
          <w:rFonts w:ascii="Tahoma" w:hAnsi="Tahoma" w:cs="Tahoma"/>
          <w:sz w:val="22"/>
          <w:szCs w:val="22"/>
        </w:rPr>
        <w:t>E</w:t>
      </w:r>
      <w:r w:rsidRPr="0084720E">
        <w:rPr>
          <w:rFonts w:ascii="Tahoma" w:hAnsi="Tahoma" w:cs="Tahoma"/>
          <w:sz w:val="22"/>
          <w:szCs w:val="22"/>
        </w:rPr>
        <w:t xml:space="preserve">mergency </w:t>
      </w:r>
      <w:r w:rsidR="00467302">
        <w:rPr>
          <w:rFonts w:ascii="Tahoma" w:hAnsi="Tahoma" w:cs="Tahoma"/>
          <w:sz w:val="22"/>
          <w:szCs w:val="22"/>
        </w:rPr>
        <w:t>A</w:t>
      </w:r>
      <w:r w:rsidRPr="0084720E">
        <w:rPr>
          <w:rFonts w:ascii="Tahoma" w:hAnsi="Tahoma" w:cs="Tahoma"/>
          <w:sz w:val="22"/>
          <w:szCs w:val="22"/>
        </w:rPr>
        <w:t xml:space="preserve">ction </w:t>
      </w:r>
      <w:r w:rsidR="00467302">
        <w:rPr>
          <w:rFonts w:ascii="Tahoma" w:hAnsi="Tahoma" w:cs="Tahoma"/>
          <w:sz w:val="22"/>
          <w:szCs w:val="22"/>
        </w:rPr>
        <w:t>P</w:t>
      </w:r>
      <w:r w:rsidRPr="0084720E">
        <w:rPr>
          <w:rFonts w:ascii="Tahoma" w:hAnsi="Tahoma" w:cs="Tahoma"/>
          <w:sz w:val="22"/>
          <w:szCs w:val="22"/>
        </w:rPr>
        <w:t>lan.</w:t>
      </w:r>
    </w:p>
    <w:p w14:paraId="1ED0E91D" w14:textId="79240E90" w:rsidR="00587A07" w:rsidRPr="003277DA" w:rsidRDefault="00587A07" w:rsidP="00F00C8E">
      <w:pPr>
        <w:pStyle w:val="NormalW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7B0C89B8" w14:textId="14782C80" w:rsidR="001761C9" w:rsidRDefault="001761C9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2B0C40BF" w14:textId="67A290F6" w:rsidR="001761C9" w:rsidRDefault="001761C9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101C9E41" w14:textId="402966A3" w:rsidR="001761C9" w:rsidRDefault="001761C9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34EFE64D" w14:textId="032D3B2F" w:rsidR="001761C9" w:rsidRDefault="001761C9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7262E4C5" w14:textId="641D4531" w:rsidR="001761C9" w:rsidRDefault="001761C9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6BBB0F98" w14:textId="46156A44" w:rsidR="00467302" w:rsidRDefault="00467302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02522F30" w14:textId="767E3728" w:rsidR="00467302" w:rsidRDefault="00467302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25E8E662" w14:textId="11E75D5F" w:rsidR="00467302" w:rsidRDefault="00467302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72DAFBF1" w14:textId="61F88FB6" w:rsidR="00467302" w:rsidRDefault="00467302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56004230" w14:textId="07CF897E" w:rsidR="00467302" w:rsidRDefault="00467302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62F80C2B" w14:textId="77777777" w:rsidR="00467302" w:rsidRDefault="00467302" w:rsidP="00F00C8E">
      <w:pPr>
        <w:tabs>
          <w:tab w:val="left" w:pos="1440"/>
          <w:tab w:val="left" w:pos="2160"/>
        </w:tabs>
        <w:rPr>
          <w:rFonts w:ascii="Tahoma" w:hAnsi="Tahoma" w:cs="Tahoma"/>
          <w:sz w:val="24"/>
          <w:szCs w:val="24"/>
        </w:rPr>
      </w:pPr>
    </w:p>
    <w:p w14:paraId="4F8BAD0A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BC61AD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3C7A389E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7DAD306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0DE6DE9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Organization: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</w:p>
    <w:p w14:paraId="502B7097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BC61AD">
        <w:rPr>
          <w:rFonts w:ascii="Tahoma" w:hAnsi="Tahoma" w:cs="Tahoma"/>
          <w:sz w:val="22"/>
          <w:szCs w:val="22"/>
        </w:rPr>
        <w:tab/>
      </w:r>
      <w:r w:rsidRPr="00BC61AD">
        <w:rPr>
          <w:rFonts w:ascii="Tahoma" w:hAnsi="Tahoma" w:cs="Tahoma"/>
          <w:sz w:val="22"/>
          <w:szCs w:val="22"/>
        </w:rPr>
        <w:tab/>
      </w:r>
    </w:p>
    <w:p w14:paraId="2D8B2EBE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Trainer: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Trainer’s 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4F8CF95A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E46D2BA" w14:textId="77777777" w:rsidR="00DF6871" w:rsidRPr="00BC61AD" w:rsidRDefault="00DF6871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BC61AD">
        <w:rPr>
          <w:rFonts w:ascii="Tahoma" w:hAnsi="Tahoma" w:cs="Tahoma"/>
          <w:sz w:val="22"/>
          <w:szCs w:val="22"/>
        </w:rPr>
        <w:t>Class Participants:</w:t>
      </w:r>
    </w:p>
    <w:p w14:paraId="2E0F0C07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24D3619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3721107C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A822FC1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3F6EB643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552F631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2ABB8514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6ED0A7B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7EB8160D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732FD36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7A28F0A2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FA465F9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30E8C352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C99EDAA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683F7A88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64CA346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2520958A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E159231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4C965172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DBF4EC4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6F3D9290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82C8497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4EE76C72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F383838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4AD177E9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0F20EFE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41360EF3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1E8509A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5868F2FE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D3EEC50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01FCA470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43D1B54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474E39AA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F06F891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697A82ED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BFDBD67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C61AD">
        <w:rPr>
          <w:rFonts w:ascii="Tahoma" w:hAnsi="Tahoma" w:cs="Tahoma"/>
          <w:sz w:val="22"/>
          <w:szCs w:val="22"/>
        </w:rPr>
        <w:t>Name: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>Signature: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</w:rPr>
        <w:t xml:space="preserve"> Date:</w:t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  <w:r w:rsidRPr="00BC61AD">
        <w:rPr>
          <w:rFonts w:ascii="Tahoma" w:hAnsi="Tahoma" w:cs="Tahoma"/>
          <w:sz w:val="22"/>
          <w:szCs w:val="22"/>
          <w:u w:val="single"/>
        </w:rPr>
        <w:tab/>
      </w:r>
    </w:p>
    <w:p w14:paraId="7057E332" w14:textId="77777777" w:rsidR="00FF6E4F" w:rsidRPr="00BC61AD" w:rsidRDefault="00FF6E4F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6B3D9A4" w14:textId="77777777" w:rsidR="00080B9E" w:rsidRPr="00BC61AD" w:rsidRDefault="00080B9E" w:rsidP="00F00C8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sectPr w:rsidR="00080B9E" w:rsidRPr="00BC61AD" w:rsidSect="00670A6F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905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3221" w14:textId="77777777" w:rsidR="00BF4372" w:rsidRDefault="00BF4372">
      <w:r>
        <w:separator/>
      </w:r>
    </w:p>
  </w:endnote>
  <w:endnote w:type="continuationSeparator" w:id="0">
    <w:p w14:paraId="6D896429" w14:textId="77777777" w:rsidR="00BF4372" w:rsidRDefault="00BF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663546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67243DCA" w14:textId="7262927D" w:rsidR="00BC61AD" w:rsidRPr="00BC61AD" w:rsidRDefault="00BC61AD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BC61AD">
          <w:rPr>
            <w:rFonts w:ascii="Tahoma" w:hAnsi="Tahoma" w:cs="Tahoma"/>
            <w:sz w:val="22"/>
            <w:szCs w:val="22"/>
          </w:rPr>
          <w:fldChar w:fldCharType="begin"/>
        </w:r>
        <w:r w:rsidRPr="00BC61AD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BC61AD">
          <w:rPr>
            <w:rFonts w:ascii="Tahoma" w:hAnsi="Tahoma" w:cs="Tahoma"/>
            <w:sz w:val="22"/>
            <w:szCs w:val="22"/>
          </w:rPr>
          <w:fldChar w:fldCharType="separate"/>
        </w:r>
        <w:r w:rsidR="00797BC0">
          <w:rPr>
            <w:rFonts w:ascii="Tahoma" w:hAnsi="Tahoma" w:cs="Tahoma"/>
            <w:noProof/>
            <w:sz w:val="22"/>
            <w:szCs w:val="22"/>
          </w:rPr>
          <w:t>1</w:t>
        </w:r>
        <w:r w:rsidRPr="00BC61AD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14:paraId="7628138D" w14:textId="77777777" w:rsidR="00FF6E4F" w:rsidRDefault="00FF6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B9FD" w14:textId="77777777" w:rsidR="00BF4372" w:rsidRDefault="00BF4372">
      <w:r>
        <w:separator/>
      </w:r>
    </w:p>
  </w:footnote>
  <w:footnote w:type="continuationSeparator" w:id="0">
    <w:p w14:paraId="14B33423" w14:textId="77777777" w:rsidR="00BF4372" w:rsidRDefault="00BF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70D3" w14:textId="77777777" w:rsidR="00FF6E4F" w:rsidRDefault="00797BC0">
    <w:pPr>
      <w:pStyle w:val="Header"/>
    </w:pPr>
    <w:r>
      <w:rPr>
        <w:noProof/>
      </w:rPr>
      <w:pict w14:anchorId="39217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9DE7" w14:textId="77777777" w:rsidR="00FF6E4F" w:rsidRDefault="00FF6E4F" w:rsidP="00F52C82">
    <w:pPr>
      <w:pStyle w:val="Header"/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19B2" w14:textId="77777777" w:rsidR="00FF6E4F" w:rsidRDefault="00797BC0">
    <w:pPr>
      <w:pStyle w:val="Header"/>
    </w:pPr>
    <w:r>
      <w:rPr>
        <w:noProof/>
      </w:rPr>
      <w:pict w14:anchorId="53E90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E0CB5"/>
    <w:multiLevelType w:val="hybridMultilevel"/>
    <w:tmpl w:val="7D58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D03DAE"/>
    <w:multiLevelType w:val="hybridMultilevel"/>
    <w:tmpl w:val="EE54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2A177D"/>
    <w:multiLevelType w:val="hybridMultilevel"/>
    <w:tmpl w:val="7B4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5AB457A"/>
    <w:multiLevelType w:val="hybridMultilevel"/>
    <w:tmpl w:val="4B4AD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4884"/>
    <w:multiLevelType w:val="hybridMultilevel"/>
    <w:tmpl w:val="86E4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2B22714E"/>
    <w:multiLevelType w:val="hybridMultilevel"/>
    <w:tmpl w:val="36F0E8C6"/>
    <w:lvl w:ilvl="0" w:tplc="EA7407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9D723D"/>
    <w:multiLevelType w:val="hybridMultilevel"/>
    <w:tmpl w:val="9BF48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096051"/>
    <w:multiLevelType w:val="hybridMultilevel"/>
    <w:tmpl w:val="998E7EA0"/>
    <w:lvl w:ilvl="0" w:tplc="C65C3FC0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2804B0"/>
    <w:multiLevelType w:val="hybridMultilevel"/>
    <w:tmpl w:val="FB42C698"/>
    <w:lvl w:ilvl="0" w:tplc="C65C3FC0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C11A3"/>
    <w:multiLevelType w:val="hybridMultilevel"/>
    <w:tmpl w:val="99562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0A1AE8"/>
    <w:multiLevelType w:val="hybridMultilevel"/>
    <w:tmpl w:val="BB5AF5A2"/>
    <w:lvl w:ilvl="0" w:tplc="C65C3FC0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48"/>
  </w:num>
  <w:num w:numId="4">
    <w:abstractNumId w:val="30"/>
  </w:num>
  <w:num w:numId="5">
    <w:abstractNumId w:val="31"/>
  </w:num>
  <w:num w:numId="6">
    <w:abstractNumId w:val="32"/>
  </w:num>
  <w:num w:numId="7">
    <w:abstractNumId w:val="18"/>
  </w:num>
  <w:num w:numId="8">
    <w:abstractNumId w:val="26"/>
  </w:num>
  <w:num w:numId="9">
    <w:abstractNumId w:val="20"/>
  </w:num>
  <w:num w:numId="10">
    <w:abstractNumId w:val="47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5"/>
  </w:num>
  <w:num w:numId="16">
    <w:abstractNumId w:val="17"/>
  </w:num>
  <w:num w:numId="17">
    <w:abstractNumId w:val="41"/>
  </w:num>
  <w:num w:numId="18">
    <w:abstractNumId w:val="35"/>
  </w:num>
  <w:num w:numId="19">
    <w:abstractNumId w:val="29"/>
  </w:num>
  <w:num w:numId="20">
    <w:abstractNumId w:val="12"/>
  </w:num>
  <w:num w:numId="21">
    <w:abstractNumId w:val="16"/>
  </w:num>
  <w:num w:numId="22">
    <w:abstractNumId w:val="7"/>
  </w:num>
  <w:num w:numId="23">
    <w:abstractNumId w:val="28"/>
  </w:num>
  <w:num w:numId="24">
    <w:abstractNumId w:val="42"/>
  </w:num>
  <w:num w:numId="25">
    <w:abstractNumId w:val="15"/>
  </w:num>
  <w:num w:numId="26">
    <w:abstractNumId w:val="10"/>
  </w:num>
  <w:num w:numId="27">
    <w:abstractNumId w:val="38"/>
  </w:num>
  <w:num w:numId="28">
    <w:abstractNumId w:val="11"/>
  </w:num>
  <w:num w:numId="29">
    <w:abstractNumId w:val="40"/>
  </w:num>
  <w:num w:numId="30">
    <w:abstractNumId w:val="22"/>
  </w:num>
  <w:num w:numId="31">
    <w:abstractNumId w:val="44"/>
  </w:num>
  <w:num w:numId="32">
    <w:abstractNumId w:val="39"/>
  </w:num>
  <w:num w:numId="33">
    <w:abstractNumId w:val="9"/>
  </w:num>
  <w:num w:numId="34">
    <w:abstractNumId w:val="14"/>
  </w:num>
  <w:num w:numId="35">
    <w:abstractNumId w:val="4"/>
  </w:num>
  <w:num w:numId="36">
    <w:abstractNumId w:val="46"/>
  </w:num>
  <w:num w:numId="37">
    <w:abstractNumId w:val="0"/>
  </w:num>
  <w:num w:numId="38">
    <w:abstractNumId w:val="27"/>
  </w:num>
  <w:num w:numId="39">
    <w:abstractNumId w:val="8"/>
  </w:num>
  <w:num w:numId="40">
    <w:abstractNumId w:val="2"/>
  </w:num>
  <w:num w:numId="41">
    <w:abstractNumId w:val="13"/>
  </w:num>
  <w:num w:numId="42">
    <w:abstractNumId w:val="21"/>
  </w:num>
  <w:num w:numId="43">
    <w:abstractNumId w:val="19"/>
  </w:num>
  <w:num w:numId="44">
    <w:abstractNumId w:val="23"/>
  </w:num>
  <w:num w:numId="45">
    <w:abstractNumId w:val="37"/>
  </w:num>
  <w:num w:numId="46">
    <w:abstractNumId w:val="25"/>
  </w:num>
  <w:num w:numId="47">
    <w:abstractNumId w:val="34"/>
  </w:num>
  <w:num w:numId="48">
    <w:abstractNumId w:val="4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11181"/>
    <w:rsid w:val="00030255"/>
    <w:rsid w:val="00050535"/>
    <w:rsid w:val="00066622"/>
    <w:rsid w:val="00080B9E"/>
    <w:rsid w:val="000946D5"/>
    <w:rsid w:val="000B0C0F"/>
    <w:rsid w:val="000B2B03"/>
    <w:rsid w:val="000B7CC5"/>
    <w:rsid w:val="000C63D7"/>
    <w:rsid w:val="000C6488"/>
    <w:rsid w:val="000E3BD9"/>
    <w:rsid w:val="000F7B87"/>
    <w:rsid w:val="00101E99"/>
    <w:rsid w:val="00112CD6"/>
    <w:rsid w:val="00125460"/>
    <w:rsid w:val="00134016"/>
    <w:rsid w:val="0017007E"/>
    <w:rsid w:val="00170124"/>
    <w:rsid w:val="001761C9"/>
    <w:rsid w:val="00176B7A"/>
    <w:rsid w:val="00177A03"/>
    <w:rsid w:val="001C625C"/>
    <w:rsid w:val="001C7FA6"/>
    <w:rsid w:val="001E6998"/>
    <w:rsid w:val="001F7210"/>
    <w:rsid w:val="00203903"/>
    <w:rsid w:val="00206FD9"/>
    <w:rsid w:val="00226854"/>
    <w:rsid w:val="00262898"/>
    <w:rsid w:val="00265299"/>
    <w:rsid w:val="00272B52"/>
    <w:rsid w:val="00280478"/>
    <w:rsid w:val="0028530C"/>
    <w:rsid w:val="002C64E1"/>
    <w:rsid w:val="002D6590"/>
    <w:rsid w:val="002E66D9"/>
    <w:rsid w:val="002F4C90"/>
    <w:rsid w:val="0030693D"/>
    <w:rsid w:val="00314CEF"/>
    <w:rsid w:val="00322552"/>
    <w:rsid w:val="003277DA"/>
    <w:rsid w:val="00335DE1"/>
    <w:rsid w:val="0034084D"/>
    <w:rsid w:val="00345B9D"/>
    <w:rsid w:val="00350477"/>
    <w:rsid w:val="0037249B"/>
    <w:rsid w:val="003A3BC5"/>
    <w:rsid w:val="003A477C"/>
    <w:rsid w:val="003A5152"/>
    <w:rsid w:val="003C6631"/>
    <w:rsid w:val="003C727A"/>
    <w:rsid w:val="003D63B3"/>
    <w:rsid w:val="004115E5"/>
    <w:rsid w:val="004120DC"/>
    <w:rsid w:val="00427296"/>
    <w:rsid w:val="00444BFC"/>
    <w:rsid w:val="00450B9E"/>
    <w:rsid w:val="00452C39"/>
    <w:rsid w:val="00467302"/>
    <w:rsid w:val="0047042C"/>
    <w:rsid w:val="00470F16"/>
    <w:rsid w:val="00471858"/>
    <w:rsid w:val="004822A7"/>
    <w:rsid w:val="00484B70"/>
    <w:rsid w:val="0049004F"/>
    <w:rsid w:val="0049799F"/>
    <w:rsid w:val="004A3DB1"/>
    <w:rsid w:val="004A6435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60899"/>
    <w:rsid w:val="00561C52"/>
    <w:rsid w:val="005667BF"/>
    <w:rsid w:val="00587A07"/>
    <w:rsid w:val="005A00E0"/>
    <w:rsid w:val="005B7921"/>
    <w:rsid w:val="005C2664"/>
    <w:rsid w:val="005C271F"/>
    <w:rsid w:val="005C64E0"/>
    <w:rsid w:val="005E0F0D"/>
    <w:rsid w:val="005F0741"/>
    <w:rsid w:val="005F6B61"/>
    <w:rsid w:val="00601DBC"/>
    <w:rsid w:val="0060244B"/>
    <w:rsid w:val="006142BD"/>
    <w:rsid w:val="00633E48"/>
    <w:rsid w:val="0065122E"/>
    <w:rsid w:val="00661A2C"/>
    <w:rsid w:val="00670A6F"/>
    <w:rsid w:val="00681041"/>
    <w:rsid w:val="00681266"/>
    <w:rsid w:val="006A55E8"/>
    <w:rsid w:val="006D450A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3622D"/>
    <w:rsid w:val="00745815"/>
    <w:rsid w:val="007471ED"/>
    <w:rsid w:val="00756B2D"/>
    <w:rsid w:val="00783265"/>
    <w:rsid w:val="00786B93"/>
    <w:rsid w:val="00787D8D"/>
    <w:rsid w:val="00797BC0"/>
    <w:rsid w:val="007A2DAB"/>
    <w:rsid w:val="007B025D"/>
    <w:rsid w:val="007B329D"/>
    <w:rsid w:val="007B63BE"/>
    <w:rsid w:val="007D6F55"/>
    <w:rsid w:val="00812B83"/>
    <w:rsid w:val="00833B6C"/>
    <w:rsid w:val="00841EAC"/>
    <w:rsid w:val="0084720E"/>
    <w:rsid w:val="00854C82"/>
    <w:rsid w:val="00864339"/>
    <w:rsid w:val="008818F2"/>
    <w:rsid w:val="008918CA"/>
    <w:rsid w:val="008A372E"/>
    <w:rsid w:val="008B0C1C"/>
    <w:rsid w:val="008B7A72"/>
    <w:rsid w:val="008C1503"/>
    <w:rsid w:val="008D00DB"/>
    <w:rsid w:val="0090367E"/>
    <w:rsid w:val="00910830"/>
    <w:rsid w:val="00926290"/>
    <w:rsid w:val="00934757"/>
    <w:rsid w:val="0094297A"/>
    <w:rsid w:val="0098779E"/>
    <w:rsid w:val="0099107E"/>
    <w:rsid w:val="009C5486"/>
    <w:rsid w:val="009C5FA7"/>
    <w:rsid w:val="009E17F9"/>
    <w:rsid w:val="009E4E31"/>
    <w:rsid w:val="009F59F6"/>
    <w:rsid w:val="009F6923"/>
    <w:rsid w:val="00A0664B"/>
    <w:rsid w:val="00A24109"/>
    <w:rsid w:val="00A64AC9"/>
    <w:rsid w:val="00A75770"/>
    <w:rsid w:val="00A84185"/>
    <w:rsid w:val="00A90FE5"/>
    <w:rsid w:val="00AA06D7"/>
    <w:rsid w:val="00AA3C13"/>
    <w:rsid w:val="00AB0253"/>
    <w:rsid w:val="00AB6FBC"/>
    <w:rsid w:val="00AC6A6C"/>
    <w:rsid w:val="00AD0DF2"/>
    <w:rsid w:val="00AE3C61"/>
    <w:rsid w:val="00AE3D93"/>
    <w:rsid w:val="00B01A96"/>
    <w:rsid w:val="00B1132E"/>
    <w:rsid w:val="00B33EDA"/>
    <w:rsid w:val="00B36A6D"/>
    <w:rsid w:val="00B3779C"/>
    <w:rsid w:val="00B4261E"/>
    <w:rsid w:val="00B63803"/>
    <w:rsid w:val="00B73408"/>
    <w:rsid w:val="00B82BF8"/>
    <w:rsid w:val="00B947C1"/>
    <w:rsid w:val="00B955DF"/>
    <w:rsid w:val="00BC169A"/>
    <w:rsid w:val="00BC2238"/>
    <w:rsid w:val="00BC41DA"/>
    <w:rsid w:val="00BC61AD"/>
    <w:rsid w:val="00BE1208"/>
    <w:rsid w:val="00BE1E43"/>
    <w:rsid w:val="00BF4372"/>
    <w:rsid w:val="00C05AA8"/>
    <w:rsid w:val="00C12AB0"/>
    <w:rsid w:val="00C157A3"/>
    <w:rsid w:val="00C22B8A"/>
    <w:rsid w:val="00C61136"/>
    <w:rsid w:val="00C719C6"/>
    <w:rsid w:val="00C72B56"/>
    <w:rsid w:val="00C817E4"/>
    <w:rsid w:val="00C8786D"/>
    <w:rsid w:val="00C92705"/>
    <w:rsid w:val="00C965C7"/>
    <w:rsid w:val="00CB0D44"/>
    <w:rsid w:val="00CB515A"/>
    <w:rsid w:val="00CC05F1"/>
    <w:rsid w:val="00CD1603"/>
    <w:rsid w:val="00CD411B"/>
    <w:rsid w:val="00CD6FCF"/>
    <w:rsid w:val="00CE64A1"/>
    <w:rsid w:val="00CF1192"/>
    <w:rsid w:val="00CF203F"/>
    <w:rsid w:val="00CF2700"/>
    <w:rsid w:val="00D140CD"/>
    <w:rsid w:val="00D155E9"/>
    <w:rsid w:val="00D16774"/>
    <w:rsid w:val="00D26C2D"/>
    <w:rsid w:val="00D3162C"/>
    <w:rsid w:val="00D31B81"/>
    <w:rsid w:val="00D373D4"/>
    <w:rsid w:val="00D42731"/>
    <w:rsid w:val="00D50F91"/>
    <w:rsid w:val="00D72EB8"/>
    <w:rsid w:val="00D77359"/>
    <w:rsid w:val="00D87568"/>
    <w:rsid w:val="00D914E9"/>
    <w:rsid w:val="00DB15E7"/>
    <w:rsid w:val="00DC0ED2"/>
    <w:rsid w:val="00DC1E08"/>
    <w:rsid w:val="00DC2D57"/>
    <w:rsid w:val="00DC53EF"/>
    <w:rsid w:val="00DC7660"/>
    <w:rsid w:val="00DD151A"/>
    <w:rsid w:val="00DD6F08"/>
    <w:rsid w:val="00DE5E62"/>
    <w:rsid w:val="00DE7CA9"/>
    <w:rsid w:val="00DF6871"/>
    <w:rsid w:val="00E05649"/>
    <w:rsid w:val="00E30D9E"/>
    <w:rsid w:val="00E32CD7"/>
    <w:rsid w:val="00E62085"/>
    <w:rsid w:val="00E667CF"/>
    <w:rsid w:val="00E737B6"/>
    <w:rsid w:val="00E767F7"/>
    <w:rsid w:val="00E80B9B"/>
    <w:rsid w:val="00EA3E16"/>
    <w:rsid w:val="00EC7030"/>
    <w:rsid w:val="00ED2FE2"/>
    <w:rsid w:val="00EE0DCC"/>
    <w:rsid w:val="00EE36B5"/>
    <w:rsid w:val="00F00C8E"/>
    <w:rsid w:val="00F03185"/>
    <w:rsid w:val="00F068B0"/>
    <w:rsid w:val="00F41775"/>
    <w:rsid w:val="00F4315C"/>
    <w:rsid w:val="00F44011"/>
    <w:rsid w:val="00F44539"/>
    <w:rsid w:val="00F52C82"/>
    <w:rsid w:val="00F5580E"/>
    <w:rsid w:val="00F57D15"/>
    <w:rsid w:val="00F6041B"/>
    <w:rsid w:val="00F652C7"/>
    <w:rsid w:val="00F8599D"/>
    <w:rsid w:val="00F94A53"/>
    <w:rsid w:val="00FA5FA3"/>
    <w:rsid w:val="00FC17C3"/>
    <w:rsid w:val="00FC23F0"/>
    <w:rsid w:val="00FC3083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5461853"/>
  <w15:chartTrackingRefBased/>
  <w15:docId w15:val="{E4D06A37-6309-40AE-8FB8-2B14BEF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2C64E1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4E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61AD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arthquake.usgs.gov/hazards/products/conterminous/2014/2014_pga2pct50yr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0D9FD71239E49894B6BEC7BFDBF93" ma:contentTypeVersion="0" ma:contentTypeDescription="Create a new document." ma:contentTypeScope="" ma:versionID="7ebbb169ac3995570d13a02aa3a8cb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d88983a9ddfad9422cbc7d923a73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41BE-1876-4AEF-B03D-38C80A0B5BBE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A2E8A8-A6ED-4836-93D2-808003D49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ED116-98CE-40B5-8507-12DAC69E3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3D7DE-10BB-4929-9977-38B46C71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2014-12-17T01:20:00Z</cp:lastPrinted>
  <dcterms:created xsi:type="dcterms:W3CDTF">2015-03-09T21:20:00Z</dcterms:created>
  <dcterms:modified xsi:type="dcterms:W3CDTF">2018-02-16T00:36:00Z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0x010100C970D9FD71239E49894B6BEC7BFDBF93</vt:lpwstr>
  </property>
</Properties>
</file>