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4CE7" w14:textId="77777777" w:rsidR="002C0256" w:rsidRPr="009C7E40" w:rsidRDefault="002C0256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11366">
        <w:rPr>
          <w:rFonts w:ascii="Tahoma" w:hAnsi="Tahoma" w:cs="Tahoma"/>
          <w:sz w:val="22"/>
          <w:szCs w:val="22"/>
        </w:rPr>
        <w:t>To assure that proper methods of handling</w:t>
      </w:r>
      <w:r w:rsidR="006C61BA">
        <w:rPr>
          <w:rFonts w:ascii="Tahoma" w:hAnsi="Tahoma" w:cs="Tahoma"/>
          <w:sz w:val="22"/>
          <w:szCs w:val="22"/>
        </w:rPr>
        <w:t xml:space="preserve"> </w:t>
      </w:r>
      <w:r w:rsidR="00911366">
        <w:rPr>
          <w:rFonts w:ascii="Tahoma" w:hAnsi="Tahoma" w:cs="Tahoma"/>
          <w:sz w:val="22"/>
          <w:szCs w:val="22"/>
        </w:rPr>
        <w:t>and storage of compressed gas cylinders are understood and utilized by all employees</w:t>
      </w:r>
    </w:p>
    <w:p w14:paraId="189EE9E0" w14:textId="77777777" w:rsidR="002C0256" w:rsidRDefault="002C0256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37EF372" w14:textId="77777777" w:rsidR="002C0256" w:rsidRPr="00C36B44" w:rsidRDefault="002C0256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C2753" wp14:editId="727D959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A9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584E1CD0" w14:textId="77777777" w:rsidR="00E964DD" w:rsidRDefault="00E964DD" w:rsidP="0065521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7B44931" w14:textId="77777777" w:rsidR="00E964DD" w:rsidRDefault="00E964DD" w:rsidP="0065521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A68B510" w14:textId="77777777" w:rsidR="00BD76C2" w:rsidRPr="00D455CB" w:rsidRDefault="00B860F5" w:rsidP="00472F90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Compressed gas cylinders require care during </w:t>
      </w:r>
      <w:r w:rsidR="0065521D">
        <w:rPr>
          <w:rFonts w:ascii="Tahoma" w:hAnsi="Tahoma" w:cs="Tahoma"/>
          <w:color w:val="000000"/>
          <w:sz w:val="22"/>
          <w:szCs w:val="22"/>
        </w:rPr>
        <w:t xml:space="preserve">handling, transportation, and </w:t>
      </w:r>
      <w:r>
        <w:rPr>
          <w:rFonts w:ascii="Tahoma" w:hAnsi="Tahoma" w:cs="Tahoma"/>
          <w:color w:val="000000"/>
          <w:sz w:val="22"/>
          <w:szCs w:val="22"/>
        </w:rPr>
        <w:t>storage</w:t>
      </w:r>
      <w:r w:rsidR="0065521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 minimize the chances of their contents escaping. Follow these best practices to assure that you, your coworkers, and</w:t>
      </w:r>
      <w:r w:rsidR="0065521D">
        <w:rPr>
          <w:rFonts w:ascii="Tahoma" w:hAnsi="Tahoma" w:cs="Tahoma"/>
          <w:color w:val="000000"/>
          <w:sz w:val="22"/>
          <w:szCs w:val="22"/>
        </w:rPr>
        <w:t xml:space="preserve"> your worksite will remain safe.</w:t>
      </w:r>
    </w:p>
    <w:p w14:paraId="4DF725F7" w14:textId="77777777" w:rsidR="00AF1B7B" w:rsidRPr="00755B01" w:rsidRDefault="0033735C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B32C29">
        <w:rPr>
          <w:rFonts w:ascii="Tahoma" w:hAnsi="Tahoma" w:cs="Tahoma"/>
          <w:b/>
          <w:noProof/>
          <w:color w:val="315CA3"/>
          <w:sz w:val="28"/>
          <w:szCs w:val="28"/>
        </w:rPr>
        <w:drawing>
          <wp:anchor distT="0" distB="0" distL="182880" distR="114300" simplePos="0" relativeHeight="251669504" behindDoc="0" locked="0" layoutInCell="1" allowOverlap="1" wp14:anchorId="13A206EA" wp14:editId="49EFEC30">
            <wp:simplePos x="0" y="0"/>
            <wp:positionH relativeFrom="margin">
              <wp:posOffset>3365500</wp:posOffset>
            </wp:positionH>
            <wp:positionV relativeFrom="paragraph">
              <wp:posOffset>4022</wp:posOffset>
            </wp:positionV>
            <wp:extent cx="2578608" cy="1719072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F5">
        <w:rPr>
          <w:rFonts w:ascii="Tahoma" w:hAnsi="Tahoma" w:cs="Tahoma"/>
          <w:b/>
          <w:color w:val="315CA3"/>
          <w:sz w:val="28"/>
          <w:szCs w:val="28"/>
        </w:rPr>
        <w:t>Handling</w:t>
      </w:r>
    </w:p>
    <w:p w14:paraId="1D7857F0" w14:textId="77777777" w:rsidR="004F18C9" w:rsidRPr="00847188" w:rsidRDefault="00B76A11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>Complete all</w:t>
      </w:r>
      <w:r w:rsidR="00B860F5" w:rsidRPr="00847188">
        <w:rPr>
          <w:rFonts w:ascii="Tahoma" w:hAnsi="Tahoma" w:cs="Tahoma"/>
          <w:sz w:val="22"/>
          <w:szCs w:val="22"/>
        </w:rPr>
        <w:t xml:space="preserve"> required training </w:t>
      </w:r>
      <w:r w:rsidRPr="00847188">
        <w:rPr>
          <w:rFonts w:ascii="Tahoma" w:hAnsi="Tahoma" w:cs="Tahoma"/>
          <w:sz w:val="22"/>
          <w:szCs w:val="22"/>
        </w:rPr>
        <w:t>before</w:t>
      </w:r>
      <w:r w:rsidR="00B860F5" w:rsidRPr="00847188">
        <w:rPr>
          <w:rFonts w:ascii="Tahoma" w:hAnsi="Tahoma" w:cs="Tahoma"/>
          <w:sz w:val="22"/>
          <w:szCs w:val="22"/>
        </w:rPr>
        <w:t xml:space="preserve"> handling or using compressed gas cylinders.</w:t>
      </w:r>
    </w:p>
    <w:p w14:paraId="2CD2588C" w14:textId="77777777" w:rsidR="00B860F5" w:rsidRPr="00847188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>Keep cylinders secured in an upright position at all times, including during use.</w:t>
      </w:r>
    </w:p>
    <w:p w14:paraId="1C9BBBD8" w14:textId="77777777" w:rsidR="00B860F5" w:rsidRPr="00847188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>Do not strike cylinders against other cylinders or surfaces.</w:t>
      </w:r>
    </w:p>
    <w:p w14:paraId="1D81FDCD" w14:textId="77777777" w:rsidR="00B860F5" w:rsidRPr="00847188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 xml:space="preserve">Do not expose cylinders </w:t>
      </w:r>
      <w:r w:rsidR="00B76A11" w:rsidRPr="00847188">
        <w:rPr>
          <w:rFonts w:ascii="Tahoma" w:hAnsi="Tahoma" w:cs="Tahoma"/>
          <w:sz w:val="22"/>
          <w:szCs w:val="22"/>
        </w:rPr>
        <w:t xml:space="preserve">to electrical circuits, </w:t>
      </w:r>
      <w:r w:rsidRPr="00847188">
        <w:rPr>
          <w:rFonts w:ascii="Tahoma" w:hAnsi="Tahoma" w:cs="Tahoma"/>
          <w:sz w:val="22"/>
          <w:szCs w:val="22"/>
        </w:rPr>
        <w:t xml:space="preserve">use </w:t>
      </w:r>
      <w:r w:rsidR="00B76A11" w:rsidRPr="00847188">
        <w:rPr>
          <w:rFonts w:ascii="Tahoma" w:hAnsi="Tahoma" w:cs="Tahoma"/>
          <w:sz w:val="22"/>
          <w:szCs w:val="22"/>
        </w:rPr>
        <w:t xml:space="preserve">a cylinder </w:t>
      </w:r>
      <w:r w:rsidRPr="00847188">
        <w:rPr>
          <w:rFonts w:ascii="Tahoma" w:hAnsi="Tahoma" w:cs="Tahoma"/>
          <w:sz w:val="22"/>
          <w:szCs w:val="22"/>
        </w:rPr>
        <w:t xml:space="preserve">as </w:t>
      </w:r>
      <w:r w:rsidR="00B76A11" w:rsidRPr="00847188">
        <w:rPr>
          <w:rFonts w:ascii="Tahoma" w:hAnsi="Tahoma" w:cs="Tahoma"/>
          <w:sz w:val="22"/>
          <w:szCs w:val="22"/>
        </w:rPr>
        <w:t xml:space="preserve">a </w:t>
      </w:r>
      <w:r w:rsidRPr="00847188">
        <w:rPr>
          <w:rFonts w:ascii="Tahoma" w:hAnsi="Tahoma" w:cs="Tahoma"/>
          <w:sz w:val="22"/>
          <w:szCs w:val="22"/>
        </w:rPr>
        <w:t xml:space="preserve">ground </w:t>
      </w:r>
      <w:r w:rsidR="00B76A11" w:rsidRPr="00847188">
        <w:rPr>
          <w:rFonts w:ascii="Tahoma" w:hAnsi="Tahoma" w:cs="Tahoma"/>
          <w:sz w:val="22"/>
          <w:szCs w:val="22"/>
        </w:rPr>
        <w:t>when welding with electricity, or strike an electrode against a cylinder when striking an arc.</w:t>
      </w:r>
    </w:p>
    <w:p w14:paraId="1EF25B05" w14:textId="77777777" w:rsidR="009D650B" w:rsidRPr="00847188" w:rsidRDefault="00B76A11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 xml:space="preserve">Never position </w:t>
      </w:r>
      <w:r w:rsidR="009D650B" w:rsidRPr="00847188">
        <w:rPr>
          <w:rFonts w:ascii="Tahoma" w:hAnsi="Tahoma" w:cs="Tahoma"/>
          <w:sz w:val="22"/>
          <w:szCs w:val="22"/>
        </w:rPr>
        <w:t>cylinders near ignition sources.</w:t>
      </w:r>
    </w:p>
    <w:p w14:paraId="529A9579" w14:textId="77777777" w:rsidR="00B860F5" w:rsidRPr="00847188" w:rsidRDefault="005255C0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>Never</w:t>
      </w:r>
      <w:r w:rsidR="00B860F5" w:rsidRPr="00847188">
        <w:rPr>
          <w:rFonts w:ascii="Tahoma" w:hAnsi="Tahoma" w:cs="Tahoma"/>
          <w:sz w:val="22"/>
          <w:szCs w:val="22"/>
        </w:rPr>
        <w:t xml:space="preserve"> </w:t>
      </w:r>
      <w:r w:rsidRPr="00847188">
        <w:rPr>
          <w:rFonts w:ascii="Tahoma" w:hAnsi="Tahoma" w:cs="Tahoma"/>
          <w:sz w:val="22"/>
          <w:szCs w:val="22"/>
        </w:rPr>
        <w:t>use cylinders for anything other than the intended use. F</w:t>
      </w:r>
      <w:r w:rsidR="00CE30A8" w:rsidRPr="00847188">
        <w:rPr>
          <w:rFonts w:ascii="Tahoma" w:hAnsi="Tahoma" w:cs="Tahoma"/>
          <w:sz w:val="22"/>
          <w:szCs w:val="22"/>
        </w:rPr>
        <w:t xml:space="preserve">or example, </w:t>
      </w:r>
      <w:r w:rsidRPr="00847188">
        <w:rPr>
          <w:rFonts w:ascii="Tahoma" w:hAnsi="Tahoma" w:cs="Tahoma"/>
          <w:sz w:val="22"/>
          <w:szCs w:val="22"/>
        </w:rPr>
        <w:t>do not use them as</w:t>
      </w:r>
      <w:r w:rsidR="00CE30A8" w:rsidRPr="00847188">
        <w:rPr>
          <w:rFonts w:ascii="Tahoma" w:hAnsi="Tahoma" w:cs="Tahoma"/>
          <w:sz w:val="22"/>
          <w:szCs w:val="22"/>
        </w:rPr>
        <w:t xml:space="preserve"> rollers or </w:t>
      </w:r>
      <w:r w:rsidRPr="00847188">
        <w:rPr>
          <w:rFonts w:ascii="Tahoma" w:hAnsi="Tahoma" w:cs="Tahoma"/>
          <w:sz w:val="22"/>
          <w:szCs w:val="22"/>
        </w:rPr>
        <w:t>supports.</w:t>
      </w:r>
    </w:p>
    <w:p w14:paraId="0F6527D0" w14:textId="77777777" w:rsidR="00B76A11" w:rsidRPr="00382162" w:rsidRDefault="00382162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382162">
        <w:rPr>
          <w:rFonts w:ascii="Tahoma" w:hAnsi="Tahoma" w:cs="Tahoma"/>
          <w:sz w:val="22"/>
          <w:szCs w:val="22"/>
        </w:rPr>
        <w:t>Do not</w:t>
      </w:r>
      <w:r w:rsidR="00B76A11" w:rsidRPr="00382162">
        <w:rPr>
          <w:rFonts w:ascii="Tahoma" w:hAnsi="Tahoma" w:cs="Tahoma"/>
          <w:sz w:val="22"/>
          <w:szCs w:val="22"/>
        </w:rPr>
        <w:t xml:space="preserve"> refill cylinders. </w:t>
      </w:r>
    </w:p>
    <w:p w14:paraId="36B51CC5" w14:textId="77777777" w:rsidR="00000709" w:rsidRPr="00755B01" w:rsidRDefault="00000709" w:rsidP="0033735C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Hazard Communication</w:t>
      </w:r>
    </w:p>
    <w:p w14:paraId="5D1D92F9" w14:textId="6A5A1487" w:rsidR="00000709" w:rsidRPr="00DE5D6E" w:rsidRDefault="00000709" w:rsidP="00B83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DE5D6E">
        <w:rPr>
          <w:rFonts w:ascii="Tahoma" w:hAnsi="Tahoma" w:cs="Tahoma"/>
          <w:sz w:val="22"/>
          <w:szCs w:val="22"/>
        </w:rPr>
        <w:t>Familiarize yourself with any labels or signage</w:t>
      </w:r>
      <w:r w:rsidR="00B83F90" w:rsidRPr="00DE5D6E">
        <w:rPr>
          <w:rFonts w:ascii="Tahoma" w:hAnsi="Tahoma" w:cs="Tahoma"/>
          <w:sz w:val="22"/>
          <w:szCs w:val="22"/>
        </w:rPr>
        <w:t xml:space="preserve"> </w:t>
      </w:r>
      <w:r w:rsidR="00516EC3" w:rsidRPr="00DE5D6E">
        <w:rPr>
          <w:rFonts w:ascii="Tahoma" w:hAnsi="Tahoma" w:cs="Tahoma"/>
          <w:sz w:val="22"/>
          <w:szCs w:val="22"/>
        </w:rPr>
        <w:t xml:space="preserve">found in storage or work areas or on cylinders that </w:t>
      </w:r>
      <w:r w:rsidR="00472F90" w:rsidRPr="00DE5D6E">
        <w:rPr>
          <w:rFonts w:ascii="Tahoma" w:hAnsi="Tahoma" w:cs="Tahoma"/>
          <w:sz w:val="22"/>
          <w:szCs w:val="22"/>
        </w:rPr>
        <w:t>communicate</w:t>
      </w:r>
      <w:r w:rsidR="0045073B" w:rsidRPr="00DE5D6E">
        <w:rPr>
          <w:rFonts w:ascii="Tahoma" w:hAnsi="Tahoma" w:cs="Tahoma"/>
          <w:sz w:val="22"/>
          <w:szCs w:val="22"/>
        </w:rPr>
        <w:t>s</w:t>
      </w:r>
      <w:r w:rsidR="00472F90" w:rsidRPr="00DE5D6E">
        <w:rPr>
          <w:rFonts w:ascii="Tahoma" w:hAnsi="Tahoma" w:cs="Tahoma"/>
          <w:sz w:val="22"/>
          <w:szCs w:val="22"/>
        </w:rPr>
        <w:t xml:space="preserve"> hazards</w:t>
      </w:r>
      <w:r w:rsidR="00004303" w:rsidRPr="00DE5D6E">
        <w:rPr>
          <w:rFonts w:ascii="Tahoma" w:hAnsi="Tahoma" w:cs="Tahoma"/>
          <w:sz w:val="22"/>
          <w:szCs w:val="22"/>
        </w:rPr>
        <w:t>.</w:t>
      </w:r>
    </w:p>
    <w:p w14:paraId="529C3964" w14:textId="77777777" w:rsidR="00004303" w:rsidRPr="00DE5D6E" w:rsidRDefault="00004303" w:rsidP="00B83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DE5D6E">
        <w:rPr>
          <w:rFonts w:ascii="Tahoma" w:hAnsi="Tahoma" w:cs="Tahoma"/>
          <w:sz w:val="22"/>
          <w:szCs w:val="22"/>
        </w:rPr>
        <w:t xml:space="preserve">Assure that cylinders bear proper GHS-compliant labels that identify contents and classify hazards. </w:t>
      </w:r>
      <w:r w:rsidRPr="00DE5D6E">
        <w:rPr>
          <w:rFonts w:ascii="Tahoma" w:hAnsi="Tahoma" w:cs="Tahoma"/>
          <w:b/>
          <w:sz w:val="22"/>
          <w:szCs w:val="22"/>
        </w:rPr>
        <w:t>Do not use cylinders that are not clearly marked with their contents or hazards.</w:t>
      </w:r>
    </w:p>
    <w:p w14:paraId="4E52907D" w14:textId="77777777" w:rsidR="0033735C" w:rsidRDefault="0033735C" w:rsidP="0033735C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</w:p>
    <w:p w14:paraId="507DD91C" w14:textId="77777777" w:rsidR="00CC05F1" w:rsidRPr="00755B01" w:rsidRDefault="00B860F5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Transport</w:t>
      </w:r>
      <w:r w:rsidR="006C61BA" w:rsidRPr="00847188">
        <w:rPr>
          <w:rFonts w:ascii="Tahoma" w:hAnsi="Tahoma" w:cs="Tahoma"/>
          <w:b/>
          <w:color w:val="315CA3"/>
          <w:sz w:val="28"/>
          <w:szCs w:val="28"/>
        </w:rPr>
        <w:t>ation</w:t>
      </w:r>
    </w:p>
    <w:p w14:paraId="06FEEEE0" w14:textId="77777777" w:rsidR="003D2C73" w:rsidRPr="003D2C73" w:rsidRDefault="003D2C73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Prior to moving cylinders:</w:t>
      </w:r>
    </w:p>
    <w:p w14:paraId="7D1EC9D5" w14:textId="77777777" w:rsidR="002A569A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Do not move cylinders without proper authorization.</w:t>
      </w:r>
    </w:p>
    <w:p w14:paraId="2131F501" w14:textId="77777777" w:rsidR="00B860F5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Confirm the cylinders’ contents and review the SDSs for handling requirements.</w:t>
      </w:r>
    </w:p>
    <w:p w14:paraId="1490EE53" w14:textId="77777777" w:rsidR="00B860F5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Close valves, bleed lines, remove regulators, and replace valve safety caps before moving.</w:t>
      </w:r>
    </w:p>
    <w:p w14:paraId="17139A28" w14:textId="77777777" w:rsidR="00B32C29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Assure that your planned route is clear of obstacles.</w:t>
      </w:r>
    </w:p>
    <w:p w14:paraId="660DA641" w14:textId="2B06786F" w:rsidR="003D2C73" w:rsidRPr="00B32C29" w:rsidRDefault="00B32C29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</w:rPr>
      </w:pPr>
      <w:r w:rsidRPr="00B32C29">
        <w:rPr>
          <w:rFonts w:ascii="Tahoma" w:hAnsi="Tahoma" w:cs="Tahoma"/>
          <w:b/>
        </w:rPr>
        <w:t>W</w:t>
      </w:r>
      <w:r w:rsidR="003D2C73" w:rsidRPr="00B32C29">
        <w:rPr>
          <w:rFonts w:ascii="Tahoma" w:hAnsi="Tahoma" w:cs="Tahoma"/>
          <w:b/>
        </w:rPr>
        <w:t>hile moving cylinders:</w:t>
      </w:r>
    </w:p>
    <w:p w14:paraId="34AFEE85" w14:textId="77777777" w:rsidR="003D2C73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Use a cart designed for this purpose.</w:t>
      </w:r>
    </w:p>
    <w:p w14:paraId="5C5E352A" w14:textId="77777777" w:rsidR="003D2C73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Use a chain to secure them to the cart.</w:t>
      </w:r>
    </w:p>
    <w:p w14:paraId="252A65B9" w14:textId="77777777" w:rsidR="003D2C73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Stay on designated pathways.</w:t>
      </w:r>
    </w:p>
    <w:p w14:paraId="668D3F66" w14:textId="06BBDB43" w:rsidR="003D2C73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Never lay cylinders on their sides or roll them by hand.</w:t>
      </w:r>
    </w:p>
    <w:p w14:paraId="53C61A0C" w14:textId="77777777" w:rsidR="00B32C29" w:rsidRDefault="00B32C29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If lifting cylinders:</w:t>
      </w:r>
    </w:p>
    <w:p w14:paraId="71E23112" w14:textId="77777777" w:rsidR="00B32C29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Assure that appropriate lifting attachments are used and cylinders are properly secured.</w:t>
      </w:r>
    </w:p>
    <w:p w14:paraId="0D818344" w14:textId="77777777" w:rsidR="00B32C29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Do not lift cylinders by their caps or with magnets.</w:t>
      </w:r>
    </w:p>
    <w:p w14:paraId="3C9587C4" w14:textId="77777777" w:rsidR="00B32C29" w:rsidRPr="00B32C29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Do not drop cylinders from any height.</w:t>
      </w:r>
    </w:p>
    <w:p w14:paraId="4F864FA8" w14:textId="77777777" w:rsidR="00B87F62" w:rsidRDefault="003D2C73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Storage</w:t>
      </w:r>
    </w:p>
    <w:p w14:paraId="6EAAB79F" w14:textId="77777777" w:rsidR="003D2C73" w:rsidRDefault="003D2C73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Keep storage areas cool, dry, well-ventilated, and protected from recognizable hazards.</w:t>
      </w:r>
    </w:p>
    <w:p w14:paraId="26533591" w14:textId="77777777" w:rsidR="002A3C26" w:rsidRDefault="002A3C2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storing cylinders outdoors, make sure they are properly protected from direct sunlight and extreme hot and cold temperatures as necessary.</w:t>
      </w:r>
    </w:p>
    <w:p w14:paraId="613AB73E" w14:textId="77777777" w:rsidR="003D2C73" w:rsidRDefault="003D2C73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Limit access to authorized and trained persons.</w:t>
      </w:r>
    </w:p>
    <w:p w14:paraId="2494AEE0" w14:textId="77777777" w:rsidR="00F36196" w:rsidRDefault="00F3619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Position storage areas at least 20 feet away from stairs, aisles, elevators, and combustible and flammable materials.</w:t>
      </w:r>
    </w:p>
    <w:p w14:paraId="770589AF" w14:textId="77777777" w:rsidR="00F36196" w:rsidRPr="00847188" w:rsidRDefault="00F3619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Assure that cylinders with incompatible contents (such as oxidizers and flammables) separated by at least 20 feet </w:t>
      </w:r>
      <w:r w:rsidRPr="00847188">
        <w:rPr>
          <w:rFonts w:ascii="Tahoma" w:hAnsi="Tahoma" w:cs="Tahoma"/>
          <w:sz w:val="22"/>
          <w:szCs w:val="22"/>
        </w:rPr>
        <w:t>or an approved fire-resistant barrier.</w:t>
      </w:r>
    </w:p>
    <w:p w14:paraId="2A7FF543" w14:textId="77777777" w:rsidR="009D650B" w:rsidRPr="00847188" w:rsidRDefault="009D650B" w:rsidP="00472F90">
      <w:pPr>
        <w:pStyle w:val="NormalWeb"/>
        <w:numPr>
          <w:ilvl w:val="0"/>
          <w:numId w:val="4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</w:rPr>
      </w:pPr>
      <w:r w:rsidRPr="00847188">
        <w:rPr>
          <w:rFonts w:ascii="Tahoma" w:hAnsi="Tahoma" w:cs="Tahoma"/>
          <w:sz w:val="22"/>
          <w:szCs w:val="22"/>
        </w:rPr>
        <w:t>Never store cylinders in in confined spaces.</w:t>
      </w:r>
    </w:p>
    <w:p w14:paraId="09F0DA65" w14:textId="77777777" w:rsidR="00DF6871" w:rsidRPr="00066622" w:rsidRDefault="00DF6871" w:rsidP="0065521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77F6FA01" w14:textId="77777777" w:rsidR="00DF6871" w:rsidRPr="00066622" w:rsidRDefault="00DF6871" w:rsidP="0065521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8E1E3BC" w14:textId="77777777" w:rsidR="00DF6871" w:rsidRPr="00066622" w:rsidRDefault="00DF6871" w:rsidP="0065521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CEA885F" w14:textId="77777777" w:rsidR="00315F40" w:rsidRPr="00466706" w:rsidRDefault="00315F40" w:rsidP="0065521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C7EA5FC" w14:textId="77777777" w:rsidR="00315F40" w:rsidRPr="00EB21F7" w:rsidRDefault="00315F40" w:rsidP="0065521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1B2AFF5" w14:textId="77777777" w:rsidR="00DF6871" w:rsidRPr="00066622" w:rsidRDefault="00315F40" w:rsidP="0065521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F1503C6" w14:textId="77777777" w:rsidR="00315F40" w:rsidRDefault="00315F40" w:rsidP="0065521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443E9E7E" w14:textId="77777777" w:rsidR="00DF6871" w:rsidRDefault="00DF6871" w:rsidP="0065521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1532044" w14:textId="77777777" w:rsidR="00080B9E" w:rsidRDefault="00080B9E" w:rsidP="0065521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D099809" w14:textId="77777777" w:rsidR="008272DA" w:rsidRDefault="0045764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1A681C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418E805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89C63C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3286AB0A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35C5DCB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398739AB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3BC37F4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36BB5585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BCCACE7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0611EEBE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0093CF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26337386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E390F5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1B3CC01A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A268A9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6595CC3F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EC97736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51EF22CA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1686DB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214079D8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18F17BB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298E269E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6C5264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4FA19BBF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5E0CAED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1BD5A617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517879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4687BC08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456555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</w:p>
    <w:p w14:paraId="614D5355" w14:textId="77777777" w:rsidR="008272DA" w:rsidRDefault="008272DA" w:rsidP="0065521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82BB78" w14:textId="77777777" w:rsidR="007A064D" w:rsidRDefault="007A064D" w:rsidP="0065521D">
      <w:pPr>
        <w:jc w:val="both"/>
        <w:rPr>
          <w:rFonts w:ascii="Tahoma" w:hAnsi="Tahoma" w:cs="Tahoma"/>
          <w:sz w:val="22"/>
          <w:szCs w:val="22"/>
        </w:rPr>
      </w:pPr>
    </w:p>
    <w:p w14:paraId="285ED166" w14:textId="36816AF5" w:rsidR="0045764A" w:rsidRPr="0045764A" w:rsidRDefault="0045764A" w:rsidP="0065521D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3130E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268E" w14:textId="77777777" w:rsidR="00B83F90" w:rsidRDefault="00B83F90">
      <w:r>
        <w:separator/>
      </w:r>
    </w:p>
  </w:endnote>
  <w:endnote w:type="continuationSeparator" w:id="0">
    <w:p w14:paraId="40546A3C" w14:textId="77777777" w:rsidR="00B83F90" w:rsidRDefault="00B83F90">
      <w:r>
        <w:continuationSeparator/>
      </w:r>
    </w:p>
  </w:endnote>
  <w:endnote w:type="continuationNotice" w:id="1">
    <w:p w14:paraId="242AEF20" w14:textId="77777777" w:rsidR="00B83F90" w:rsidRDefault="00B83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5D7D8D2" w14:textId="06C46716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A7253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1C6B" w14:textId="77777777" w:rsidR="00B83F90" w:rsidRDefault="00B83F90">
      <w:r>
        <w:separator/>
      </w:r>
    </w:p>
  </w:footnote>
  <w:footnote w:type="continuationSeparator" w:id="0">
    <w:p w14:paraId="5FDE3719" w14:textId="77777777" w:rsidR="00B83F90" w:rsidRDefault="00B83F90">
      <w:r>
        <w:continuationSeparator/>
      </w:r>
    </w:p>
  </w:footnote>
  <w:footnote w:type="continuationNotice" w:id="1">
    <w:p w14:paraId="3791FC18" w14:textId="77777777" w:rsidR="00B83F90" w:rsidRDefault="00B83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F19F" w14:textId="77777777" w:rsidR="00FF6E4F" w:rsidRDefault="005A7253">
    <w:pPr>
      <w:pStyle w:val="Header"/>
    </w:pPr>
    <w:r>
      <w:rPr>
        <w:noProof/>
      </w:rPr>
      <w:pict w14:anchorId="19979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FCD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5ECCE127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4E68A9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9C600FF" w14:textId="77777777" w:rsidTr="00472F90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B5F41CE" w14:textId="77777777" w:rsidR="00B968EA" w:rsidRPr="001B1D0E" w:rsidRDefault="005D2BAC" w:rsidP="0065521D">
          <w:pPr>
            <w:pStyle w:val="NormalWeb"/>
            <w:tabs>
              <w:tab w:val="left" w:pos="4320"/>
            </w:tabs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Compressed Gas Cylinder Safety</w:t>
          </w:r>
          <w:r w:rsidR="0065521D">
            <w:rPr>
              <w:rFonts w:ascii="Tahoma" w:hAnsi="Tahoma" w:cs="Tahoma"/>
              <w:sz w:val="22"/>
              <w:szCs w:val="22"/>
            </w:rPr>
            <w:tab/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06C675C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65521D" w:rsidRPr="001B1D0E" w14:paraId="5F2AFFE8" w14:textId="77777777" w:rsidTr="00472F90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C2128E7" w14:textId="77777777" w:rsidR="0065521D" w:rsidRPr="001B1D0E" w:rsidRDefault="0065521D" w:rsidP="00B254F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Handling</w:t>
          </w:r>
          <w:r w:rsidR="00B254FD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and Storage</w:t>
          </w:r>
        </w:p>
      </w:tc>
    </w:tr>
  </w:tbl>
  <w:p w14:paraId="0FA846E5" w14:textId="77777777" w:rsidR="00B968EA" w:rsidRPr="002C0256" w:rsidRDefault="00A907A9" w:rsidP="0065521D">
    <w:pPr>
      <w:pStyle w:val="Header"/>
      <w:tabs>
        <w:tab w:val="clear" w:pos="4320"/>
        <w:tab w:val="clear" w:pos="8640"/>
        <w:tab w:val="left" w:pos="1628"/>
        <w:tab w:val="left" w:pos="6150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  <w:r w:rsidR="0065521D">
      <w:rPr>
        <w:sz w:val="24"/>
        <w:szCs w:val="24"/>
      </w:rPr>
      <w:tab/>
    </w:r>
  </w:p>
  <w:p w14:paraId="45B469FA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2280" w14:textId="77777777" w:rsidR="00FF6E4F" w:rsidRDefault="005A7253">
    <w:pPr>
      <w:pStyle w:val="Header"/>
    </w:pPr>
    <w:r>
      <w:rPr>
        <w:noProof/>
      </w:rPr>
      <w:pict w14:anchorId="47AF4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0F6"/>
    <w:multiLevelType w:val="hybridMultilevel"/>
    <w:tmpl w:val="F69A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1437"/>
    <w:multiLevelType w:val="hybridMultilevel"/>
    <w:tmpl w:val="47BC7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C0084"/>
    <w:multiLevelType w:val="hybridMultilevel"/>
    <w:tmpl w:val="F98E7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D1CCA"/>
    <w:multiLevelType w:val="hybridMultilevel"/>
    <w:tmpl w:val="6EF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D52AD"/>
    <w:multiLevelType w:val="hybridMultilevel"/>
    <w:tmpl w:val="E0D25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0709"/>
    <w:rsid w:val="00004303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E7F07"/>
    <w:rsid w:val="000F7B87"/>
    <w:rsid w:val="00101E99"/>
    <w:rsid w:val="00125460"/>
    <w:rsid w:val="00134016"/>
    <w:rsid w:val="0015166E"/>
    <w:rsid w:val="00170124"/>
    <w:rsid w:val="00177A03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3C26"/>
    <w:rsid w:val="002A569A"/>
    <w:rsid w:val="002C0256"/>
    <w:rsid w:val="002D6590"/>
    <w:rsid w:val="002E66D9"/>
    <w:rsid w:val="00300821"/>
    <w:rsid w:val="00305964"/>
    <w:rsid w:val="003130E6"/>
    <w:rsid w:val="00315F40"/>
    <w:rsid w:val="00322552"/>
    <w:rsid w:val="00330324"/>
    <w:rsid w:val="00335DE1"/>
    <w:rsid w:val="0033735C"/>
    <w:rsid w:val="00350477"/>
    <w:rsid w:val="00382162"/>
    <w:rsid w:val="003A477C"/>
    <w:rsid w:val="003B49F1"/>
    <w:rsid w:val="003C6631"/>
    <w:rsid w:val="003C727A"/>
    <w:rsid w:val="003D2C73"/>
    <w:rsid w:val="0040604D"/>
    <w:rsid w:val="004115E5"/>
    <w:rsid w:val="00427296"/>
    <w:rsid w:val="00444465"/>
    <w:rsid w:val="00444BFC"/>
    <w:rsid w:val="0045073B"/>
    <w:rsid w:val="00450B9E"/>
    <w:rsid w:val="0045764A"/>
    <w:rsid w:val="00470F16"/>
    <w:rsid w:val="00471858"/>
    <w:rsid w:val="00472F90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C754D"/>
    <w:rsid w:val="004D122E"/>
    <w:rsid w:val="004D33CC"/>
    <w:rsid w:val="004D5977"/>
    <w:rsid w:val="004E1B27"/>
    <w:rsid w:val="004E3660"/>
    <w:rsid w:val="004F18C9"/>
    <w:rsid w:val="004F303E"/>
    <w:rsid w:val="00512A26"/>
    <w:rsid w:val="00516EC3"/>
    <w:rsid w:val="005255C0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A7253"/>
    <w:rsid w:val="005C64E0"/>
    <w:rsid w:val="005D18E4"/>
    <w:rsid w:val="005D2BAC"/>
    <w:rsid w:val="005E0F0D"/>
    <w:rsid w:val="005E57EA"/>
    <w:rsid w:val="005F1C74"/>
    <w:rsid w:val="005F6B61"/>
    <w:rsid w:val="0060244B"/>
    <w:rsid w:val="00633E48"/>
    <w:rsid w:val="0065122E"/>
    <w:rsid w:val="0065521D"/>
    <w:rsid w:val="00661A2C"/>
    <w:rsid w:val="00670A6F"/>
    <w:rsid w:val="00681266"/>
    <w:rsid w:val="006A55E8"/>
    <w:rsid w:val="006C61BA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37B10"/>
    <w:rsid w:val="00841EAC"/>
    <w:rsid w:val="00847188"/>
    <w:rsid w:val="00854C82"/>
    <w:rsid w:val="008818F2"/>
    <w:rsid w:val="008918CA"/>
    <w:rsid w:val="008A372E"/>
    <w:rsid w:val="008B7A72"/>
    <w:rsid w:val="00910830"/>
    <w:rsid w:val="00911366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D650B"/>
    <w:rsid w:val="009E17F9"/>
    <w:rsid w:val="009F59F6"/>
    <w:rsid w:val="009F5C27"/>
    <w:rsid w:val="009F6923"/>
    <w:rsid w:val="00A0664B"/>
    <w:rsid w:val="00A24109"/>
    <w:rsid w:val="00A4272B"/>
    <w:rsid w:val="00A75770"/>
    <w:rsid w:val="00A84185"/>
    <w:rsid w:val="00A907A9"/>
    <w:rsid w:val="00AB6FBC"/>
    <w:rsid w:val="00AC6A6C"/>
    <w:rsid w:val="00AD0DF2"/>
    <w:rsid w:val="00AE3C61"/>
    <w:rsid w:val="00AE3D93"/>
    <w:rsid w:val="00AF1B7B"/>
    <w:rsid w:val="00AF731B"/>
    <w:rsid w:val="00B01A96"/>
    <w:rsid w:val="00B1132E"/>
    <w:rsid w:val="00B254FD"/>
    <w:rsid w:val="00B32C29"/>
    <w:rsid w:val="00B35635"/>
    <w:rsid w:val="00B36A6D"/>
    <w:rsid w:val="00B4261E"/>
    <w:rsid w:val="00B469D6"/>
    <w:rsid w:val="00B63803"/>
    <w:rsid w:val="00B73408"/>
    <w:rsid w:val="00B76A11"/>
    <w:rsid w:val="00B82BF8"/>
    <w:rsid w:val="00B83F90"/>
    <w:rsid w:val="00B860F5"/>
    <w:rsid w:val="00B87F62"/>
    <w:rsid w:val="00B955DF"/>
    <w:rsid w:val="00B968EA"/>
    <w:rsid w:val="00BB00D8"/>
    <w:rsid w:val="00BC1EF8"/>
    <w:rsid w:val="00BC2238"/>
    <w:rsid w:val="00BC41DA"/>
    <w:rsid w:val="00BD1440"/>
    <w:rsid w:val="00BD76C2"/>
    <w:rsid w:val="00BE1208"/>
    <w:rsid w:val="00BE1E43"/>
    <w:rsid w:val="00BF0FA0"/>
    <w:rsid w:val="00C22B8A"/>
    <w:rsid w:val="00C47C08"/>
    <w:rsid w:val="00C61136"/>
    <w:rsid w:val="00C72B56"/>
    <w:rsid w:val="00C817E4"/>
    <w:rsid w:val="00C8786D"/>
    <w:rsid w:val="00C90AD3"/>
    <w:rsid w:val="00C965C7"/>
    <w:rsid w:val="00CB0D44"/>
    <w:rsid w:val="00CC05F1"/>
    <w:rsid w:val="00CD1603"/>
    <w:rsid w:val="00CD6FCF"/>
    <w:rsid w:val="00CE30A8"/>
    <w:rsid w:val="00CE4FA6"/>
    <w:rsid w:val="00CE64A1"/>
    <w:rsid w:val="00CF2700"/>
    <w:rsid w:val="00D06B1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5B37"/>
    <w:rsid w:val="00DE5D6E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36196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2ECD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02C3FD0-843B-4DBA-AB5F-59E5D3D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D167-B6AD-4CBB-BBCD-3129719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2015-09-04T18:26:00Z</dcterms:created>
  <dcterms:modified xsi:type="dcterms:W3CDTF">2018-02-05T19:31:00Z</dcterms:modified>
</cp:coreProperties>
</file>