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604" w:rsidRPr="00854604" w:rsidRDefault="00854604" w:rsidP="00854604">
      <w:pPr>
        <w:rPr>
          <w:rFonts w:ascii="Tahoma" w:hAnsi="Tahoma" w:cs="Tahoma"/>
          <w:color w:val="000000"/>
          <w:sz w:val="22"/>
          <w:szCs w:val="22"/>
          <w:lang w:val="es-ES"/>
        </w:rPr>
      </w:pPr>
      <w:bookmarkStart w:id="0" w:name="_Hlk505075195"/>
      <w:r w:rsidRPr="00B35A22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-457200</wp:posOffset>
                </wp:positionV>
                <wp:extent cx="114300" cy="114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04" w:rsidRPr="00F52C82" w:rsidRDefault="00854604" w:rsidP="00854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-3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" stroked="f">
                <v:fill opacity="0"/>
                <v:textbox>
                  <w:txbxContent>
                    <w:p w:rsidR="00854604" w:rsidRPr="00F52C82" w:rsidRDefault="00854604" w:rsidP="00854604"/>
                  </w:txbxContent>
                </v:textbox>
              </v:shape>
            </w:pict>
          </mc:Fallback>
        </mc:AlternateContent>
      </w: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>Trabajar con metales puede crear polvo, vapores y humos potencialmente dañinos. Aunque la inhalación es la forma más común que los metales tóxicos entran en el cuerpo, también es posible ingerir sustancias metálicas mientras que fumar, comer o beber si las precauciones adecuadas no se toman.</w:t>
      </w:r>
    </w:p>
    <w:p w:rsidR="00854604" w:rsidRPr="00854604" w:rsidRDefault="00854604" w:rsidP="00854604">
      <w:pPr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854604" w:rsidRPr="00854604" w:rsidRDefault="00854604" w:rsidP="00854604">
      <w:pPr>
        <w:spacing w:after="12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854604">
        <w:rPr>
          <w:rFonts w:ascii="Tahoma" w:hAnsi="Tahoma" w:cs="Tahoma"/>
          <w:b/>
          <w:color w:val="000000"/>
          <w:sz w:val="22"/>
          <w:szCs w:val="22"/>
          <w:lang w:val="es-ES"/>
        </w:rPr>
        <w:t xml:space="preserve">Seguir algunas reglas simples puede protegerse de la exposición metálica: </w:t>
      </w:r>
    </w:p>
    <w:p w:rsidR="00854604" w:rsidRPr="00854604" w:rsidRDefault="00854604" w:rsidP="00854604">
      <w:pPr>
        <w:numPr>
          <w:ilvl w:val="0"/>
          <w:numId w:val="12"/>
        </w:numPr>
        <w:tabs>
          <w:tab w:val="left" w:pos="1800"/>
          <w:tab w:val="left" w:pos="189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>Sepa lo que está en los metales con los que trabaja.</w:t>
      </w:r>
    </w:p>
    <w:p w:rsidR="00854604" w:rsidRPr="00854604" w:rsidRDefault="00854604" w:rsidP="00854604">
      <w:pPr>
        <w:numPr>
          <w:ilvl w:val="0"/>
          <w:numId w:val="12"/>
        </w:numPr>
        <w:tabs>
          <w:tab w:val="left" w:pos="1800"/>
          <w:tab w:val="left" w:pos="189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>Conozca los peligros asociados con los materiales que utiliza.</w:t>
      </w:r>
    </w:p>
    <w:p w:rsidR="00854604" w:rsidRPr="00854604" w:rsidRDefault="00854604" w:rsidP="00854604">
      <w:pPr>
        <w:numPr>
          <w:ilvl w:val="0"/>
          <w:numId w:val="12"/>
        </w:numPr>
        <w:tabs>
          <w:tab w:val="left" w:pos="180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>Cuando el polvo o los gases se producen, utilice el respirador adecuado correctamente.</w:t>
      </w:r>
    </w:p>
    <w:p w:rsidR="00854604" w:rsidRPr="00854604" w:rsidRDefault="00854604" w:rsidP="00854604">
      <w:pPr>
        <w:numPr>
          <w:ilvl w:val="0"/>
          <w:numId w:val="12"/>
        </w:numPr>
        <w:tabs>
          <w:tab w:val="left" w:pos="1800"/>
          <w:tab w:val="left" w:pos="189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 xml:space="preserve">Siempre asegúrese de que tiene ventilación suficiente. </w:t>
      </w:r>
    </w:p>
    <w:p w:rsidR="00854604" w:rsidRPr="00854604" w:rsidRDefault="00854604" w:rsidP="00854604">
      <w:pPr>
        <w:numPr>
          <w:ilvl w:val="0"/>
          <w:numId w:val="12"/>
        </w:numPr>
        <w:tabs>
          <w:tab w:val="left" w:pos="1800"/>
          <w:tab w:val="left" w:pos="189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>Preste atención a la higiene personal y la limpieza.</w:t>
      </w:r>
    </w:p>
    <w:p w:rsidR="00854604" w:rsidRPr="00854604" w:rsidRDefault="00854604" w:rsidP="00854604">
      <w:pPr>
        <w:numPr>
          <w:ilvl w:val="0"/>
          <w:numId w:val="12"/>
        </w:numPr>
        <w:tabs>
          <w:tab w:val="left" w:pos="1800"/>
          <w:tab w:val="left" w:pos="189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>Antes de comer, beber o fumar, lávese las manos y siempre mantenga el área de trabajo separada del área de almuerzo.</w:t>
      </w:r>
    </w:p>
    <w:p w:rsidR="00854604" w:rsidRPr="00854604" w:rsidRDefault="00854604" w:rsidP="00854604">
      <w:pPr>
        <w:tabs>
          <w:tab w:val="left" w:pos="1800"/>
          <w:tab w:val="left" w:pos="1890"/>
        </w:tabs>
        <w:spacing w:after="12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B35A22">
        <w:rPr>
          <w:rFonts w:ascii="Tahoma" w:hAnsi="Tahoma" w:cs="Tahoma"/>
          <w:b/>
          <w:color w:val="000000"/>
          <w:sz w:val="22"/>
          <w:szCs w:val="22"/>
          <w:lang w:val="es-ES"/>
        </w:rPr>
        <w:t>E</w:t>
      </w:r>
      <w:r w:rsidRPr="00854604">
        <w:rPr>
          <w:rFonts w:ascii="Tahoma" w:hAnsi="Tahoma" w:cs="Tahoma"/>
          <w:b/>
          <w:color w:val="000000"/>
          <w:sz w:val="22"/>
          <w:szCs w:val="22"/>
          <w:lang w:val="es-ES"/>
        </w:rPr>
        <w:t>stos son algunos metales comunes y los peligros potenciales que existen entre ellos:</w:t>
      </w:r>
    </w:p>
    <w:p w:rsidR="00854604" w:rsidRPr="00854604" w:rsidRDefault="00B35A22" w:rsidP="00854604">
      <w:pPr>
        <w:numPr>
          <w:ilvl w:val="0"/>
          <w:numId w:val="15"/>
        </w:numPr>
        <w:tabs>
          <w:tab w:val="left" w:pos="180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B35A22">
        <w:rPr>
          <w:rFonts w:ascii="Tahoma" w:hAnsi="Tahoma" w:cs="Tahoma"/>
          <w:noProof/>
          <w:color w:val="000000"/>
          <w:sz w:val="22"/>
          <w:szCs w:val="22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4276725</wp:posOffset>
            </wp:positionH>
            <wp:positionV relativeFrom="margin">
              <wp:posOffset>3212465</wp:posOffset>
            </wp:positionV>
            <wp:extent cx="2060575" cy="3086100"/>
            <wp:effectExtent l="0" t="0" r="34925" b="38100"/>
            <wp:wrapSquare wrapText="bothSides"/>
            <wp:docPr id="2" name="Picture 2" descr="134030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4030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604" w:rsidRPr="00854604">
        <w:rPr>
          <w:rFonts w:ascii="Tahoma" w:hAnsi="Tahoma" w:cs="Tahoma"/>
          <w:b/>
          <w:color w:val="000000"/>
          <w:sz w:val="22"/>
          <w:szCs w:val="22"/>
          <w:lang w:val="es-ES"/>
        </w:rPr>
        <w:t xml:space="preserve">Zinc, cobre, latón y magnesio: </w:t>
      </w:r>
      <w:r w:rsidR="00854604" w:rsidRPr="00854604">
        <w:rPr>
          <w:rFonts w:ascii="Tahoma" w:hAnsi="Tahoma" w:cs="Tahoma"/>
          <w:color w:val="000000"/>
          <w:sz w:val="22"/>
          <w:szCs w:val="22"/>
          <w:lang w:val="es-ES"/>
        </w:rPr>
        <w:t>Vapores, polvos y compuestos de estos metales se encuentran a veces en la soldadura, cortar y la metalización por rociar.</w:t>
      </w:r>
    </w:p>
    <w:p w:rsidR="00854604" w:rsidRPr="00854604" w:rsidRDefault="00854604" w:rsidP="00854604">
      <w:pPr>
        <w:numPr>
          <w:ilvl w:val="0"/>
          <w:numId w:val="14"/>
        </w:numPr>
        <w:tabs>
          <w:tab w:val="left" w:pos="2160"/>
        </w:tabs>
        <w:spacing w:after="240"/>
        <w:ind w:left="720" w:hanging="356"/>
        <w:rPr>
          <w:rFonts w:ascii="Tahoma" w:hAnsi="Tahoma" w:cs="Tahoma"/>
          <w:color w:val="000000"/>
          <w:sz w:val="22"/>
          <w:szCs w:val="22"/>
          <w:lang w:val="es-ES"/>
        </w:rPr>
      </w:pP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 xml:space="preserve">La inhalación de estos metales puede causar la fiebre por vapores de metal, una enfermedad similar a la gripe con tos, respiración entrecortada, fatiga, fiebre, escalofríos, sudoración profusa y dolor de pecho. </w:t>
      </w:r>
    </w:p>
    <w:p w:rsidR="00854604" w:rsidRPr="00854604" w:rsidRDefault="00854604" w:rsidP="00854604">
      <w:pPr>
        <w:numPr>
          <w:ilvl w:val="0"/>
          <w:numId w:val="16"/>
        </w:numPr>
        <w:tabs>
          <w:tab w:val="left" w:pos="1800"/>
          <w:tab w:val="left" w:pos="1890"/>
        </w:tabs>
        <w:spacing w:after="120"/>
        <w:ind w:left="360"/>
        <w:rPr>
          <w:rFonts w:ascii="Tahoma" w:hAnsi="Tahoma" w:cs="Tahoma"/>
          <w:color w:val="000000"/>
          <w:sz w:val="22"/>
          <w:szCs w:val="22"/>
        </w:rPr>
      </w:pPr>
      <w:r w:rsidRPr="00B35A22">
        <w:rPr>
          <w:rFonts w:ascii="Tahoma" w:hAnsi="Tahoma" w:cs="Tahoma"/>
          <w:b/>
          <w:bCs/>
          <w:color w:val="000000"/>
          <w:sz w:val="22"/>
          <w:szCs w:val="22"/>
          <w:lang w:val="es-ES"/>
        </w:rPr>
        <w:t>Cadmio</w:t>
      </w:r>
      <w:r w:rsidRPr="00854604">
        <w:rPr>
          <w:rFonts w:ascii="Tahoma" w:hAnsi="Tahoma" w:cs="Tahoma"/>
          <w:b/>
          <w:color w:val="000000"/>
          <w:sz w:val="22"/>
          <w:szCs w:val="22"/>
          <w:lang w:val="es-ES"/>
        </w:rPr>
        <w:t>:</w:t>
      </w: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 xml:space="preserve"> El cadmio y sus compuestos pueden ser tóxicos. La soldadura de metales cubiertos por cadmio es la causa más común de exposición. La ventilación adecuada y un respirador aprobado le ayudará a protegerse.</w:t>
      </w:r>
    </w:p>
    <w:p w:rsidR="00854604" w:rsidRPr="00854604" w:rsidRDefault="00854604" w:rsidP="00854604">
      <w:pPr>
        <w:numPr>
          <w:ilvl w:val="1"/>
          <w:numId w:val="17"/>
        </w:numPr>
        <w:tabs>
          <w:tab w:val="left" w:pos="2340"/>
        </w:tabs>
        <w:spacing w:after="120"/>
        <w:ind w:left="907" w:hanging="446"/>
        <w:rPr>
          <w:rFonts w:ascii="Tahoma" w:hAnsi="Tahoma" w:cs="Tahoma"/>
          <w:color w:val="000000"/>
          <w:sz w:val="22"/>
          <w:szCs w:val="22"/>
          <w:lang w:val="es-ES"/>
        </w:rPr>
      </w:pP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>La fiebre por vapores de metal puede ocurrir cuando dosis pequeñas son inhaladas.</w:t>
      </w:r>
    </w:p>
    <w:p w:rsidR="00854604" w:rsidRPr="00854604" w:rsidRDefault="00854604" w:rsidP="00854604">
      <w:pPr>
        <w:numPr>
          <w:ilvl w:val="1"/>
          <w:numId w:val="17"/>
        </w:numPr>
        <w:tabs>
          <w:tab w:val="left" w:pos="2340"/>
        </w:tabs>
        <w:spacing w:after="120"/>
        <w:ind w:left="907" w:hanging="446"/>
        <w:rPr>
          <w:rFonts w:ascii="Tahoma" w:hAnsi="Tahoma" w:cs="Tahoma"/>
          <w:color w:val="000000"/>
          <w:sz w:val="22"/>
          <w:szCs w:val="22"/>
          <w:lang w:val="es-ES"/>
        </w:rPr>
      </w:pP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>En dosis más grandes, la inhalación de cadmio puede ser fatal.</w:t>
      </w:r>
    </w:p>
    <w:p w:rsidR="00854604" w:rsidRPr="00B35A22" w:rsidRDefault="00854604" w:rsidP="00854604">
      <w:pPr>
        <w:numPr>
          <w:ilvl w:val="1"/>
          <w:numId w:val="17"/>
        </w:numPr>
        <w:tabs>
          <w:tab w:val="left" w:pos="2340"/>
        </w:tabs>
        <w:spacing w:after="120"/>
        <w:ind w:left="892" w:hanging="446"/>
        <w:rPr>
          <w:rFonts w:ascii="Tahoma" w:hAnsi="Tahoma" w:cs="Tahoma"/>
          <w:color w:val="000000"/>
          <w:sz w:val="22"/>
          <w:szCs w:val="22"/>
          <w:lang w:val="es-ES"/>
        </w:rPr>
      </w:pPr>
      <w:r w:rsidRPr="00B35A22">
        <w:rPr>
          <w:rFonts w:ascii="Tahoma" w:hAnsi="Tahoma" w:cs="Tahoma"/>
          <w:color w:val="000000"/>
          <w:sz w:val="22"/>
          <w:szCs w:val="22"/>
          <w:lang w:val="es-ES"/>
        </w:rPr>
        <w:t>Dosis pequeñas repetidas pueden causar daño a los riñones o causar el enfisema.</w:t>
      </w:r>
    </w:p>
    <w:p w:rsidR="00854604" w:rsidRPr="00854604" w:rsidRDefault="00854604" w:rsidP="00854604">
      <w:pPr>
        <w:numPr>
          <w:ilvl w:val="0"/>
          <w:numId w:val="19"/>
        </w:numPr>
        <w:tabs>
          <w:tab w:val="left" w:pos="189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B35A22">
        <w:rPr>
          <w:rFonts w:ascii="Tahoma" w:hAnsi="Tahoma" w:cs="Tahoma"/>
          <w:b/>
          <w:bCs/>
          <w:color w:val="000000"/>
          <w:sz w:val="22"/>
          <w:szCs w:val="22"/>
          <w:lang w:val="es-ES"/>
        </w:rPr>
        <w:t xml:space="preserve">Níquel: </w:t>
      </w:r>
      <w:r w:rsidRPr="00B35A22">
        <w:rPr>
          <w:rFonts w:ascii="Tahoma" w:hAnsi="Tahoma" w:cs="Tahoma"/>
          <w:bCs/>
          <w:color w:val="000000"/>
          <w:sz w:val="22"/>
          <w:szCs w:val="22"/>
          <w:lang w:val="es-ES"/>
        </w:rPr>
        <w:t>Los vapores y el polvo producidos por níquel y compuestos de níquel se encuentran a menudo en la metalurgia y enchapar.</w:t>
      </w:r>
    </w:p>
    <w:p w:rsidR="00854604" w:rsidRPr="00854604" w:rsidRDefault="00854604" w:rsidP="00854604">
      <w:pPr>
        <w:numPr>
          <w:ilvl w:val="0"/>
          <w:numId w:val="20"/>
        </w:numPr>
        <w:tabs>
          <w:tab w:val="left" w:pos="2340"/>
        </w:tabs>
        <w:spacing w:after="120"/>
        <w:ind w:left="900" w:hanging="446"/>
        <w:rPr>
          <w:rFonts w:ascii="Tahoma" w:hAnsi="Tahoma" w:cs="Tahoma"/>
          <w:color w:val="000000"/>
          <w:sz w:val="22"/>
          <w:szCs w:val="22"/>
          <w:lang w:val="es-ES"/>
        </w:rPr>
      </w:pP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>La exposición a polvo o vapores de metales que contienen níquel o compuestos de níquel puede inflamar e irritar la piel y causar una erupción cutánea con picazón.</w:t>
      </w:r>
    </w:p>
    <w:p w:rsidR="00854604" w:rsidRPr="00854604" w:rsidRDefault="00854604" w:rsidP="00854604">
      <w:pPr>
        <w:numPr>
          <w:ilvl w:val="0"/>
          <w:numId w:val="20"/>
        </w:numPr>
        <w:tabs>
          <w:tab w:val="left" w:pos="2340"/>
        </w:tabs>
        <w:spacing w:after="240"/>
        <w:ind w:left="892" w:hanging="446"/>
        <w:rPr>
          <w:rFonts w:ascii="Tahoma" w:hAnsi="Tahoma" w:cs="Tahoma"/>
          <w:color w:val="000000"/>
          <w:sz w:val="22"/>
          <w:szCs w:val="22"/>
          <w:lang w:val="es-ES"/>
        </w:rPr>
      </w:pP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lastRenderedPageBreak/>
        <w:t>La inhalación de compuestos de níquel se ha relacionada con el cáncer de los pulmones y senos nasales.</w:t>
      </w:r>
    </w:p>
    <w:p w:rsidR="00854604" w:rsidRPr="00854604" w:rsidRDefault="00854604" w:rsidP="00854604">
      <w:pPr>
        <w:numPr>
          <w:ilvl w:val="0"/>
          <w:numId w:val="18"/>
        </w:numPr>
        <w:spacing w:after="120"/>
        <w:ind w:left="450" w:hanging="446"/>
        <w:rPr>
          <w:rFonts w:ascii="Tahoma" w:hAnsi="Tahoma" w:cs="Tahoma"/>
          <w:color w:val="000000"/>
          <w:sz w:val="22"/>
          <w:szCs w:val="22"/>
          <w:lang w:val="es-ES"/>
        </w:rPr>
      </w:pPr>
      <w:r w:rsidRPr="00B35A22">
        <w:rPr>
          <w:rFonts w:ascii="Tahoma" w:hAnsi="Tahoma" w:cs="Tahoma"/>
          <w:b/>
          <w:bCs/>
          <w:color w:val="000000"/>
          <w:sz w:val="22"/>
          <w:szCs w:val="22"/>
          <w:lang w:val="es-ES"/>
        </w:rPr>
        <w:t xml:space="preserve">Plomo: </w:t>
      </w: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>La soldadura de tubos, la fundición de precintos de plomo y la reparación de tuberías son procedimientos comunes asociados con el plomo.</w:t>
      </w:r>
    </w:p>
    <w:p w:rsidR="00854604" w:rsidRPr="00854604" w:rsidRDefault="00854604" w:rsidP="00854604">
      <w:pPr>
        <w:numPr>
          <w:ilvl w:val="0"/>
          <w:numId w:val="21"/>
        </w:numPr>
        <w:tabs>
          <w:tab w:val="left" w:pos="2340"/>
        </w:tabs>
        <w:spacing w:after="120"/>
        <w:ind w:left="900" w:hanging="446"/>
        <w:rPr>
          <w:rFonts w:ascii="Tahoma" w:hAnsi="Tahoma" w:cs="Tahoma"/>
          <w:color w:val="000000"/>
          <w:sz w:val="22"/>
          <w:szCs w:val="22"/>
          <w:lang w:val="es-ES"/>
        </w:rPr>
      </w:pP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>Los primeros signos de envenenamiento por plomo tienden a ignorarse e incluyen fatiga, irritabilidad, dolor de cabeza, calambres, dolor de estómago y pérdida de apetito.</w:t>
      </w:r>
    </w:p>
    <w:p w:rsidR="00854604" w:rsidRPr="00854604" w:rsidRDefault="00854604" w:rsidP="00854604">
      <w:pPr>
        <w:numPr>
          <w:ilvl w:val="0"/>
          <w:numId w:val="21"/>
        </w:numPr>
        <w:tabs>
          <w:tab w:val="left" w:pos="2340"/>
        </w:tabs>
        <w:spacing w:after="120"/>
        <w:ind w:left="900" w:hanging="446"/>
        <w:rPr>
          <w:rFonts w:ascii="Tahoma" w:hAnsi="Tahoma" w:cs="Tahoma"/>
          <w:color w:val="000000"/>
          <w:sz w:val="22"/>
          <w:szCs w:val="22"/>
          <w:lang w:val="es-ES"/>
        </w:rPr>
      </w:pP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>La acumulación continua puede dañar el sistema nervioso, el cerebro, los riñones y el sistema reproductivo.</w:t>
      </w:r>
    </w:p>
    <w:p w:rsidR="00854604" w:rsidRPr="00B35A22" w:rsidRDefault="00854604" w:rsidP="00854604">
      <w:pPr>
        <w:numPr>
          <w:ilvl w:val="0"/>
          <w:numId w:val="21"/>
        </w:numPr>
        <w:tabs>
          <w:tab w:val="left" w:pos="2340"/>
        </w:tabs>
        <w:spacing w:after="120"/>
        <w:ind w:left="900" w:hanging="450"/>
        <w:rPr>
          <w:rFonts w:ascii="Tahoma" w:hAnsi="Tahoma" w:cs="Tahoma"/>
          <w:color w:val="000000"/>
          <w:sz w:val="22"/>
          <w:szCs w:val="22"/>
          <w:lang w:val="es-ES"/>
        </w:rPr>
      </w:pPr>
      <w:r w:rsidRPr="00854604">
        <w:rPr>
          <w:rFonts w:ascii="Tahoma" w:hAnsi="Tahoma" w:cs="Tahoma"/>
          <w:color w:val="000000"/>
          <w:sz w:val="22"/>
          <w:szCs w:val="22"/>
          <w:lang w:val="es-ES"/>
        </w:rPr>
        <w:t>También se encuentra en la gasolina, los alimentos enlatados y la mayoría de los sumi</w:t>
      </w:r>
      <w:r w:rsidR="00B35A22">
        <w:rPr>
          <w:rFonts w:ascii="Tahoma" w:hAnsi="Tahoma" w:cs="Tahoma"/>
          <w:color w:val="000000"/>
          <w:sz w:val="22"/>
          <w:szCs w:val="22"/>
          <w:lang w:val="es-ES"/>
        </w:rPr>
        <w:t>nistros de agua de las ciudades.</w:t>
      </w:r>
    </w:p>
    <w:p w:rsidR="00854604" w:rsidRDefault="00854604" w:rsidP="00854604">
      <w:pPr>
        <w:tabs>
          <w:tab w:val="left" w:pos="2340"/>
        </w:tabs>
        <w:spacing w:after="120"/>
        <w:rPr>
          <w:rFonts w:ascii="Tahoma" w:hAnsi="Tahoma" w:cs="Tahoma"/>
          <w:color w:val="000000"/>
          <w:sz w:val="24"/>
          <w:szCs w:val="24"/>
          <w:lang w:val="es-ES"/>
        </w:rPr>
      </w:pPr>
    </w:p>
    <w:p w:rsidR="00854604" w:rsidRDefault="00B35A22" w:rsidP="00854604">
      <w:pPr>
        <w:tabs>
          <w:tab w:val="left" w:pos="2340"/>
        </w:tabs>
        <w:spacing w:after="120"/>
        <w:rPr>
          <w:rFonts w:ascii="Tahoma" w:hAnsi="Tahoma" w:cs="Tahoma"/>
          <w:color w:val="000000"/>
          <w:sz w:val="24"/>
          <w:szCs w:val="24"/>
          <w:lang w:val="es-ES"/>
        </w:rPr>
      </w:pPr>
      <w:r>
        <w:rPr>
          <w:rFonts w:ascii="Tahoma" w:hAnsi="Tahoma" w:cs="Tahoma"/>
          <w:noProof/>
          <w:color w:val="000000"/>
          <w:sz w:val="24"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929005</wp:posOffset>
            </wp:positionH>
            <wp:positionV relativeFrom="margin">
              <wp:posOffset>2581275</wp:posOffset>
            </wp:positionV>
            <wp:extent cx="3933825" cy="2628900"/>
            <wp:effectExtent l="0" t="0" r="47625" b="38100"/>
            <wp:wrapSquare wrapText="bothSides"/>
            <wp:docPr id="3" name="Picture 3" descr="bigstock_Welding__3170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stock_Welding__31704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604" w:rsidRDefault="00854604" w:rsidP="00854604">
      <w:pPr>
        <w:tabs>
          <w:tab w:val="left" w:pos="2340"/>
        </w:tabs>
        <w:spacing w:after="120"/>
        <w:rPr>
          <w:rFonts w:ascii="Tahoma" w:hAnsi="Tahoma" w:cs="Tahoma"/>
          <w:color w:val="000000"/>
          <w:sz w:val="24"/>
          <w:szCs w:val="24"/>
          <w:lang w:val="es-ES"/>
        </w:rPr>
      </w:pPr>
    </w:p>
    <w:p w:rsidR="00854604" w:rsidRDefault="00854604" w:rsidP="00854604">
      <w:pPr>
        <w:tabs>
          <w:tab w:val="left" w:pos="2340"/>
        </w:tabs>
        <w:spacing w:after="120"/>
        <w:rPr>
          <w:rFonts w:ascii="Tahoma" w:hAnsi="Tahoma" w:cs="Tahoma"/>
          <w:color w:val="000000"/>
          <w:sz w:val="24"/>
          <w:szCs w:val="24"/>
          <w:lang w:val="es-ES"/>
        </w:rPr>
      </w:pPr>
    </w:p>
    <w:p w:rsidR="00854604" w:rsidRPr="00854604" w:rsidRDefault="00854604" w:rsidP="00854604">
      <w:pPr>
        <w:tabs>
          <w:tab w:val="left" w:pos="2340"/>
        </w:tabs>
        <w:spacing w:after="120"/>
        <w:rPr>
          <w:rFonts w:ascii="Tahoma" w:hAnsi="Tahoma" w:cs="Tahoma"/>
          <w:color w:val="000000"/>
          <w:sz w:val="24"/>
          <w:szCs w:val="24"/>
          <w:lang w:val="es-ES"/>
        </w:rPr>
      </w:pPr>
    </w:p>
    <w:p w:rsidR="00854604" w:rsidRPr="00854604" w:rsidRDefault="00854604" w:rsidP="00854604">
      <w:pPr>
        <w:spacing w:before="100" w:beforeAutospacing="1" w:after="100" w:afterAutospacing="1"/>
        <w:ind w:left="1440" w:right="1440"/>
        <w:jc w:val="center"/>
        <w:rPr>
          <w:rFonts w:ascii="Tahoma" w:hAnsi="Tahoma" w:cs="Tahoma"/>
          <w:i/>
          <w:color w:val="000000"/>
          <w:sz w:val="24"/>
          <w:szCs w:val="24"/>
          <w:lang w:val="es-ES"/>
        </w:rPr>
      </w:pPr>
      <w:r w:rsidRPr="00854604">
        <w:rPr>
          <w:rFonts w:ascii="Tahoma" w:hAnsi="Tahoma" w:cs="Tahoma"/>
          <w:i/>
          <w:color w:val="000000"/>
          <w:sz w:val="24"/>
          <w:szCs w:val="24"/>
          <w:lang w:val="es-ES"/>
        </w:rPr>
        <w:t xml:space="preserve">Conozca los metales con los que trabaja, y tome </w:t>
      </w:r>
      <w:r w:rsidRPr="00854604">
        <w:rPr>
          <w:rFonts w:ascii="Tahoma" w:hAnsi="Tahoma" w:cs="Tahoma"/>
          <w:i/>
          <w:color w:val="000000"/>
          <w:sz w:val="24"/>
          <w:szCs w:val="24"/>
          <w:lang w:val="es-ES"/>
        </w:rPr>
        <w:br/>
        <w:t>las precauciones apropiadas para mantenerse a salvo.</w:t>
      </w:r>
    </w:p>
    <w:p w:rsidR="00790BA7" w:rsidRPr="00790BA7" w:rsidRDefault="00790BA7" w:rsidP="00790BA7">
      <w:pPr>
        <w:tabs>
          <w:tab w:val="left" w:pos="7920"/>
        </w:tabs>
        <w:ind w:right="1440"/>
        <w:rPr>
          <w:rFonts w:ascii="Tahoma" w:hAnsi="Tahoma" w:cs="Tahoma"/>
          <w:sz w:val="24"/>
          <w:szCs w:val="24"/>
        </w:rPr>
      </w:pPr>
    </w:p>
    <w:p w:rsidR="00790BA7" w:rsidRPr="00790BA7" w:rsidRDefault="00790BA7" w:rsidP="00790BA7">
      <w:pPr>
        <w:tabs>
          <w:tab w:val="left" w:pos="7920"/>
        </w:tabs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5C74F1" w:rsidRDefault="005C74F1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B35A22" w:rsidRDefault="00B35A22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B35A22" w:rsidRDefault="00B35A22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B35A22" w:rsidRDefault="00B35A22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B35A22" w:rsidRDefault="00B35A22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bookmarkStart w:id="1" w:name="_GoBack"/>
      <w:bookmarkEnd w:id="1"/>
      <w:r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Fecha: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Instructor: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Firma del instructor: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Participantes de la clase: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bookmarkEnd w:id="0"/>
    <w:p w:rsidR="00E964DD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sectPr w:rsidR="00E964DD" w:rsidSect="00755B0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324ECE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324E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  <w:r w:rsidR="00854604" w:rsidRPr="00854604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Seguridad química—</w:t>
          </w:r>
          <w:r w:rsidR="00854604" w:rsidRPr="00854604">
            <w:rPr>
              <w:rFonts w:ascii="Tahoma" w:hAnsi="Tahoma" w:cs="Tahoma"/>
              <w:color w:val="DA5500"/>
              <w:sz w:val="40"/>
              <w:szCs w:val="40"/>
              <w:lang w:val="es-ES"/>
            </w:rPr>
            <w:t>metales comunes</w:t>
          </w:r>
        </w:p>
      </w:tc>
    </w:tr>
  </w:tbl>
  <w:p w:rsidR="00B968EA" w:rsidRPr="002C0256" w:rsidRDefault="00B968EA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324E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552DE"/>
    <w:multiLevelType w:val="hybridMultilevel"/>
    <w:tmpl w:val="EF9E3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2361A9"/>
    <w:multiLevelType w:val="hybridMultilevel"/>
    <w:tmpl w:val="C5003D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EB5252"/>
    <w:multiLevelType w:val="hybridMultilevel"/>
    <w:tmpl w:val="B002D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0B5EB9"/>
    <w:multiLevelType w:val="hybridMultilevel"/>
    <w:tmpl w:val="C090D29A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C44332"/>
    <w:multiLevelType w:val="hybridMultilevel"/>
    <w:tmpl w:val="295ADF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A37A5E"/>
    <w:multiLevelType w:val="hybridMultilevel"/>
    <w:tmpl w:val="8FE82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905F45"/>
    <w:multiLevelType w:val="hybridMultilevel"/>
    <w:tmpl w:val="B12C6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8B5138"/>
    <w:multiLevelType w:val="hybridMultilevel"/>
    <w:tmpl w:val="3334A6D6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4" w15:restartNumberingAfterBreak="0">
    <w:nsid w:val="585C1063"/>
    <w:multiLevelType w:val="hybridMultilevel"/>
    <w:tmpl w:val="A816F5CC"/>
    <w:lvl w:ilvl="0" w:tplc="50B496C6">
      <w:start w:val="1"/>
      <w:numFmt w:val="bullet"/>
      <w:lvlText w:val="–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89430A"/>
    <w:multiLevelType w:val="hybridMultilevel"/>
    <w:tmpl w:val="1A22FB5A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9"/>
  </w:num>
  <w:num w:numId="5">
    <w:abstractNumId w:val="18"/>
  </w:num>
  <w:num w:numId="6">
    <w:abstractNumId w:val="3"/>
  </w:num>
  <w:num w:numId="7">
    <w:abstractNumId w:val="11"/>
  </w:num>
  <w:num w:numId="8">
    <w:abstractNumId w:val="15"/>
  </w:num>
  <w:num w:numId="9">
    <w:abstractNumId w:val="0"/>
  </w:num>
  <w:num w:numId="10">
    <w:abstractNumId w:val="17"/>
  </w:num>
  <w:num w:numId="11">
    <w:abstractNumId w:val="20"/>
  </w:num>
  <w:num w:numId="12">
    <w:abstractNumId w:val="4"/>
  </w:num>
  <w:num w:numId="13">
    <w:abstractNumId w:val="14"/>
  </w:num>
  <w:num w:numId="14">
    <w:abstractNumId w:val="6"/>
  </w:num>
  <w:num w:numId="15">
    <w:abstractNumId w:val="2"/>
  </w:num>
  <w:num w:numId="16">
    <w:abstractNumId w:val="1"/>
  </w:num>
  <w:num w:numId="17">
    <w:abstractNumId w:val="7"/>
  </w:num>
  <w:num w:numId="18">
    <w:abstractNumId w:val="9"/>
  </w:num>
  <w:num w:numId="19">
    <w:abstractNumId w:val="8"/>
  </w:num>
  <w:num w:numId="20">
    <w:abstractNumId w:val="12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24ECE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604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5A22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BB6978E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E8E9-32B0-4DEA-AD5A-957C47C0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2018-02-03T00:58:00Z</dcterms:created>
  <dcterms:modified xsi:type="dcterms:W3CDTF">2018-02-03T00:58:00Z</dcterms:modified>
</cp:coreProperties>
</file>