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0256" w:rsidRPr="009C7E40" w:rsidRDefault="002C0256" w:rsidP="009B5BF6">
      <w:pPr>
        <w:pStyle w:val="NormalWeb"/>
        <w:spacing w:before="0" w:beforeAutospacing="0" w:after="0" w:afterAutospacing="0"/>
        <w:ind w:right="58"/>
        <w:rPr>
          <w:rFonts w:ascii="Tahoma" w:hAnsi="Tahoma" w:cs="Tahoma"/>
          <w:b/>
          <w:sz w:val="22"/>
          <w:szCs w:val="22"/>
        </w:rPr>
      </w:pPr>
      <w:r>
        <w:rPr>
          <w:rFonts w:ascii="Tahoma" w:hAnsi="Tahoma"/>
          <w:b/>
          <w:sz w:val="22"/>
        </w:rPr>
        <w:t xml:space="preserve">Objetivo: </w:t>
      </w:r>
      <w:r>
        <w:rPr>
          <w:rFonts w:ascii="Tahoma" w:hAnsi="Tahoma"/>
          <w:sz w:val="22"/>
        </w:rPr>
        <w:t>Ofrecer una introducción sobre los controles de ingeniería para la exposición al plomo, incluidos los métodos de sustitución, aislamiento y ventilación.</w:t>
      </w:r>
    </w:p>
    <w:p w:rsidR="002C0256" w:rsidRDefault="002C0256" w:rsidP="009B5BF6">
      <w:pPr>
        <w:pStyle w:val="NormalWeb"/>
        <w:spacing w:before="0" w:beforeAutospacing="0" w:after="0" w:afterAutospacing="0"/>
        <w:ind w:right="58"/>
        <w:rPr>
          <w:rFonts w:ascii="Tahoma" w:hAnsi="Tahoma" w:cs="Tahoma"/>
          <w:sz w:val="22"/>
          <w:szCs w:val="22"/>
        </w:rPr>
      </w:pPr>
    </w:p>
    <w:p w:rsidR="002C0256" w:rsidRPr="00C36B44" w:rsidRDefault="0046728B" w:rsidP="009B5BF6">
      <w:pPr>
        <w:pStyle w:val="NormalWeb"/>
        <w:spacing w:before="0" w:beforeAutospacing="0" w:after="0" w:afterAutospacing="0"/>
        <w:ind w:right="58"/>
        <w:rPr>
          <w:rFonts w:ascii="Tahoma" w:hAnsi="Tahoma" w:cs="Tahoma"/>
          <w:sz w:val="22"/>
          <w:szCs w:val="22"/>
        </w:rPr>
      </w:pPr>
      <w:r>
        <w:rPr>
          <w:noProof/>
          <w:lang w:val="en-US" w:eastAsia="en-US" w:bidi="ar-SA"/>
        </w:rPr>
        <mc:AlternateContent>
          <mc:Choice Requires="wps">
            <w:drawing>
              <wp:anchor distT="4294967295" distB="4294967295" distL="114300" distR="114300" simplePos="0" relativeHeight="251660800" behindDoc="0" locked="0" layoutInCell="1" allowOverlap="1">
                <wp:simplePos x="0" y="0"/>
                <wp:positionH relativeFrom="column">
                  <wp:posOffset>10795</wp:posOffset>
                </wp:positionH>
                <wp:positionV relativeFrom="paragraph">
                  <wp:posOffset>94614</wp:posOffset>
                </wp:positionV>
                <wp:extent cx="5943600" cy="0"/>
                <wp:effectExtent l="0" t="0" r="19050" b="19050"/>
                <wp:wrapNone/>
                <wp:docPr id="2"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straightConnector1">
                          <a:avLst/>
                        </a:prstGeom>
                        <a:noFill/>
                        <a:ln w="9525">
                          <a:solidFill>
                            <a:srgbClr val="DA55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528990C" id="_x0000_t32" coordsize="21600,21600" o:spt="32" o:oned="t" path="m,l21600,21600e" filled="f">
                <v:path arrowok="t" fillok="f" o:connecttype="none"/>
                <o:lock v:ext="edit" shapetype="t"/>
              </v:shapetype>
              <v:shape id="Straight Arrow Connector 1" o:spid="_x0000_s1026" type="#_x0000_t32" style="position:absolute;margin-left:.85pt;margin-top:7.45pt;width:468pt;height:0;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4iJMwIAAGIEAAAOAAAAZHJzL2Uyb0RvYy54bWysVMFu2zAMvQ/YPwi6p7ZTJ2uMOEVgJ7t0&#10;a4F2H6BIcizMFgVJjRMM+/dRcpKt22UYdpEpiXx8JJ+8vD/2HTlI6xTokmY3KSVScxBK70v65WU7&#10;uaPEeaYF60DLkp6ko/er9++WgynkFFrohLQEQbQrBlPS1ntTJInjreyZuwEjNV42YHvmcWv3ibBs&#10;QPS+S6ZpOk8GsMJY4NI5PK3HS7qK+E0juX9sGic96UqK3HxcbVx3YU1WS1bsLTOt4mca7B9Y9Exp&#10;THqFqpln5NWqP6B6xS04aPwNhz6BplFcxhqwmiz9rZrnlhkZa8HmOHNtk/t/sPzz4ckSJUo6pUSz&#10;Hkf07C1T+9aTtbUwkAq0xjaCJVno1mBcgUGVfrKhXn7Uz+YB+FdHNFQt03sZWb+cDELFiORNSNg4&#10;gzl3wycQ6MNePcTWHRvbB0hsCjnGCZ2uE5JHTzgezhb57TzFQfLLXcKKS6Cxzn+U0JNglNSd67gW&#10;kMU07PDgPBaCgZeAkFXDVnVdlEOnyVDSxWw6iwEOOiXCZXBzdr+rOksODAVVr2czJDOCvXELyDVz&#10;7egn0BqVZuFVi5iklUxszrZnqhttJNXpkAcLRppna1TSt0W62Nxt7vJJPp1vJnla15P1tson8232&#10;YVbf1lVVZ98D5SwvWiWE1IH1RdVZ/neqOb+vUY9XXV/bk7xFj31EspdvJB0nHoY8ymUH4vRkQ5fC&#10;8FHI0fn86MJL+XUfvX7+GlY/AAAA//8DAFBLAwQUAAYACAAAACEAgjS5HNcAAAAHAQAADwAAAGRy&#10;cy9kb3ducmV2LnhtbEyOz06DQBDG7ya+w2ZMvBi7VI1YytIYgw8gGM9Tdgq07Cxhty369I7xoKfJ&#10;9yff/PLN7AZ1oin0ng0sFwko4sbbnlsD7/Xr7ROoEJEtDp7JwCcF2BSXFzlm1p/5jU5VbJWMcMjQ&#10;QBfjmGkdmo4choUfiSXb+clhFDm12k54lnE36LskedQOe5YPHY700lFzqI7OQOl1rMqPrzrcLPd2&#10;V6a1Q9obc301P69BRZrjXxl+8AUdCmHa+iPboAbRqRTlPKxASby6T8XY/hq6yPV//uIbAAD//wMA&#10;UEsBAi0AFAAGAAgAAAAhALaDOJL+AAAA4QEAABMAAAAAAAAAAAAAAAAAAAAAAFtDb250ZW50X1R5&#10;cGVzXS54bWxQSwECLQAUAAYACAAAACEAOP0h/9YAAACUAQAACwAAAAAAAAAAAAAAAAAvAQAAX3Jl&#10;bHMvLnJlbHNQSwECLQAUAAYACAAAACEAydOIiTMCAABiBAAADgAAAAAAAAAAAAAAAAAuAgAAZHJz&#10;L2Uyb0RvYy54bWxQSwECLQAUAAYACAAAACEAgjS5HNcAAAAHAQAADwAAAAAAAAAAAAAAAACNBAAA&#10;ZHJzL2Rvd25yZXYueG1sUEsFBgAAAAAEAAQA8wAAAJEFAAAAAA==&#10;" strokecolor="#da5500">
                <v:stroke dashstyle="dash"/>
              </v:shape>
            </w:pict>
          </mc:Fallback>
        </mc:AlternateContent>
      </w:r>
    </w:p>
    <w:p w:rsidR="00E964DD" w:rsidRPr="00B724D8" w:rsidRDefault="00E964DD" w:rsidP="009B5BF6">
      <w:pPr>
        <w:pStyle w:val="NormalWeb"/>
        <w:spacing w:before="0" w:beforeAutospacing="0" w:after="0" w:afterAutospacing="0"/>
        <w:rPr>
          <w:rFonts w:ascii="Tahoma" w:hAnsi="Tahoma" w:cs="Tahoma"/>
          <w:sz w:val="22"/>
          <w:szCs w:val="22"/>
        </w:rPr>
      </w:pPr>
    </w:p>
    <w:p w:rsidR="003F5634" w:rsidRPr="00B724D8" w:rsidRDefault="00492C02" w:rsidP="009B5BF6">
      <w:pPr>
        <w:pStyle w:val="NormalWeb"/>
        <w:spacing w:before="0" w:beforeAutospacing="0" w:after="220" w:afterAutospacing="0"/>
        <w:rPr>
          <w:rFonts w:ascii="Tahoma" w:hAnsi="Tahoma" w:cs="Tahoma"/>
          <w:sz w:val="22"/>
          <w:szCs w:val="22"/>
        </w:rPr>
      </w:pPr>
      <w:r>
        <w:rPr>
          <w:rFonts w:ascii="Tahoma" w:hAnsi="Tahoma"/>
          <w:sz w:val="22"/>
        </w:rPr>
        <w:t xml:space="preserve">Debido a que la exposición al plomo es peligrosa, los empleadores deben implementar </w:t>
      </w:r>
      <w:r>
        <w:rPr>
          <w:rFonts w:ascii="Tahoma" w:hAnsi="Tahoma"/>
          <w:b/>
          <w:sz w:val="22"/>
        </w:rPr>
        <w:t>controles de ingeniería</w:t>
      </w:r>
      <w:r>
        <w:rPr>
          <w:rFonts w:ascii="Tahoma" w:hAnsi="Tahoma"/>
          <w:sz w:val="22"/>
        </w:rPr>
        <w:t xml:space="preserve"> para reducir la exposición a este material en la mayor medida posible. Se prefiere implementar controles de ingeniería a controles administrativos, ya que los primeros son más eficientes para controlar las exposiciones. Los equipos de protección personal (como los respiradores) se consideran el último recurso, ya que los trabajadores deben usarlos correctamente.</w:t>
      </w:r>
    </w:p>
    <w:p w:rsidR="001802D4" w:rsidRPr="00506C27" w:rsidRDefault="00492C02" w:rsidP="003818FA">
      <w:pPr>
        <w:pStyle w:val="NormalWeb"/>
        <w:spacing w:before="0" w:beforeAutospacing="0" w:after="500" w:afterAutospacing="0"/>
        <w:rPr>
          <w:rFonts w:ascii="Tahoma" w:hAnsi="Tahoma" w:cs="Tahoma"/>
          <w:sz w:val="22"/>
          <w:szCs w:val="22"/>
        </w:rPr>
      </w:pPr>
      <w:r>
        <w:rPr>
          <w:rFonts w:ascii="Tahoma" w:hAnsi="Tahoma"/>
          <w:sz w:val="22"/>
        </w:rPr>
        <w:t>Sepa cuáles son los controles de ingeniería de su organización. A continuación, se describen tres medidas principales de control de ingeniería para reducir la exposición al plomo.</w:t>
      </w:r>
    </w:p>
    <w:p w:rsidR="004E1C76" w:rsidRPr="00755B01" w:rsidRDefault="001802D4" w:rsidP="00EA5672">
      <w:pPr>
        <w:pStyle w:val="NormalWeb"/>
        <w:tabs>
          <w:tab w:val="left" w:pos="3975"/>
        </w:tabs>
        <w:spacing w:before="0" w:beforeAutospacing="0" w:after="400" w:afterAutospacing="0"/>
        <w:rPr>
          <w:rFonts w:ascii="Tahoma" w:hAnsi="Tahoma" w:cs="Tahoma"/>
          <w:b/>
          <w:color w:val="315CA3"/>
          <w:sz w:val="28"/>
          <w:szCs w:val="28"/>
        </w:rPr>
      </w:pPr>
      <w:r>
        <w:rPr>
          <w:rFonts w:ascii="Tahoma" w:hAnsi="Tahoma"/>
          <w:b/>
          <w:color w:val="315CA3"/>
          <w:sz w:val="28"/>
        </w:rPr>
        <w:t>Sustitución</w:t>
      </w:r>
    </w:p>
    <w:p w:rsidR="00E9219C" w:rsidRPr="00506C27" w:rsidRDefault="001802D4" w:rsidP="002F60F0">
      <w:pPr>
        <w:pStyle w:val="NormalWeb"/>
        <w:numPr>
          <w:ilvl w:val="0"/>
          <w:numId w:val="1"/>
        </w:numPr>
        <w:spacing w:before="0" w:beforeAutospacing="0" w:after="220" w:afterAutospacing="0"/>
        <w:ind w:left="450" w:hanging="450"/>
        <w:rPr>
          <w:rFonts w:ascii="Tahoma" w:hAnsi="Tahoma" w:cs="Tahoma"/>
          <w:sz w:val="22"/>
          <w:szCs w:val="22"/>
        </w:rPr>
      </w:pPr>
      <w:r>
        <w:rPr>
          <w:rFonts w:ascii="Tahoma" w:hAnsi="Tahoma"/>
          <w:sz w:val="22"/>
        </w:rPr>
        <w:t>Sustituya el plomo por materiales menos peligrosos.</w:t>
      </w:r>
    </w:p>
    <w:p w:rsidR="00E9219C" w:rsidRPr="00B724D8" w:rsidRDefault="001802D4" w:rsidP="003818FA">
      <w:pPr>
        <w:pStyle w:val="NormalWeb"/>
        <w:numPr>
          <w:ilvl w:val="0"/>
          <w:numId w:val="1"/>
        </w:numPr>
        <w:spacing w:before="0" w:beforeAutospacing="0" w:after="500" w:afterAutospacing="0"/>
        <w:ind w:left="446" w:hanging="446"/>
        <w:rPr>
          <w:rFonts w:ascii="Tahoma" w:hAnsi="Tahoma" w:cs="Tahoma"/>
          <w:sz w:val="22"/>
          <w:szCs w:val="22"/>
        </w:rPr>
      </w:pPr>
      <w:r>
        <w:rPr>
          <w:rFonts w:ascii="Tahoma" w:hAnsi="Tahoma"/>
          <w:sz w:val="22"/>
        </w:rPr>
        <w:t>Haga cambios en los procesos o los equipos para reducir o eliminar los riesgos de exposición al plomo.</w:t>
      </w:r>
    </w:p>
    <w:p w:rsidR="004822A7" w:rsidRPr="00B724D8" w:rsidRDefault="001802D4" w:rsidP="009B5BF6">
      <w:pPr>
        <w:pStyle w:val="NormalWeb"/>
        <w:spacing w:before="0" w:beforeAutospacing="0" w:after="400" w:afterAutospacing="0"/>
        <w:rPr>
          <w:rFonts w:ascii="Tahoma" w:hAnsi="Tahoma" w:cs="Tahoma"/>
          <w:b/>
          <w:sz w:val="28"/>
          <w:szCs w:val="28"/>
        </w:rPr>
      </w:pPr>
      <w:r>
        <w:rPr>
          <w:rFonts w:ascii="Tahoma" w:hAnsi="Tahoma"/>
          <w:b/>
          <w:color w:val="315CA3"/>
          <w:sz w:val="28"/>
        </w:rPr>
        <w:t>Aislamiento</w:t>
      </w:r>
    </w:p>
    <w:p w:rsidR="001802D4" w:rsidRPr="00B724D8" w:rsidRDefault="001802D4" w:rsidP="003818FA">
      <w:pPr>
        <w:pStyle w:val="NormalWeb"/>
        <w:numPr>
          <w:ilvl w:val="0"/>
          <w:numId w:val="3"/>
        </w:numPr>
        <w:spacing w:before="0" w:beforeAutospacing="0" w:after="60" w:afterAutospacing="0"/>
        <w:ind w:left="450" w:hanging="446"/>
        <w:rPr>
          <w:rFonts w:ascii="Tahoma" w:hAnsi="Tahoma" w:cs="Tahoma"/>
          <w:sz w:val="22"/>
          <w:szCs w:val="22"/>
        </w:rPr>
      </w:pPr>
      <w:r>
        <w:rPr>
          <w:rFonts w:ascii="Tahoma" w:hAnsi="Tahoma"/>
          <w:sz w:val="22"/>
        </w:rPr>
        <w:t>Limite la exposición directa al plomo y la posible propagación de contaminación mediante lo siguiente:</w:t>
      </w:r>
    </w:p>
    <w:p w:rsidR="001802D4" w:rsidRPr="00B724D8" w:rsidRDefault="001802D4" w:rsidP="003818FA">
      <w:pPr>
        <w:pStyle w:val="NormalWeb"/>
        <w:numPr>
          <w:ilvl w:val="0"/>
          <w:numId w:val="4"/>
        </w:numPr>
        <w:spacing w:before="0" w:beforeAutospacing="0" w:after="60" w:afterAutospacing="0"/>
        <w:ind w:left="900" w:hanging="446"/>
        <w:rPr>
          <w:rFonts w:ascii="Tahoma" w:hAnsi="Tahoma" w:cs="Tahoma"/>
          <w:sz w:val="22"/>
          <w:szCs w:val="22"/>
        </w:rPr>
      </w:pPr>
      <w:r>
        <w:rPr>
          <w:rFonts w:ascii="Tahoma" w:hAnsi="Tahoma"/>
          <w:sz w:val="22"/>
        </w:rPr>
        <w:t xml:space="preserve">limite los trabajos con plomo a áreas cerradas específicas en las que haya una presión de aire negativa en relación con las áreas que la rodean; </w:t>
      </w:r>
    </w:p>
    <w:p w:rsidR="001802D4" w:rsidRPr="00B724D8" w:rsidRDefault="001802D4" w:rsidP="003818FA">
      <w:pPr>
        <w:pStyle w:val="NormalWeb"/>
        <w:numPr>
          <w:ilvl w:val="0"/>
          <w:numId w:val="4"/>
        </w:numPr>
        <w:spacing w:before="0" w:beforeAutospacing="0" w:after="500" w:afterAutospacing="0"/>
        <w:ind w:left="892" w:hanging="446"/>
        <w:rPr>
          <w:rFonts w:ascii="Tahoma" w:hAnsi="Tahoma" w:cs="Tahoma"/>
          <w:sz w:val="22"/>
          <w:szCs w:val="22"/>
        </w:rPr>
      </w:pPr>
      <w:r>
        <w:rPr>
          <w:rFonts w:ascii="Tahoma" w:hAnsi="Tahoma"/>
          <w:sz w:val="22"/>
        </w:rPr>
        <w:t>mantenga las áreas de exposición al plomo cerradas y con una presión de aire negativa respecto de las áreas de trabajo que las rodean.</w:t>
      </w:r>
    </w:p>
    <w:p w:rsidR="00CC05F1" w:rsidRPr="00755B01" w:rsidRDefault="001802D4" w:rsidP="000420BE">
      <w:pPr>
        <w:pStyle w:val="NormalWeb"/>
        <w:tabs>
          <w:tab w:val="left" w:pos="2655"/>
        </w:tabs>
        <w:spacing w:before="0" w:beforeAutospacing="0" w:after="400" w:afterAutospacing="0"/>
        <w:rPr>
          <w:rFonts w:ascii="Tahoma" w:hAnsi="Tahoma" w:cs="Tahoma"/>
          <w:b/>
          <w:color w:val="315CA3"/>
          <w:sz w:val="28"/>
          <w:szCs w:val="28"/>
        </w:rPr>
      </w:pPr>
      <w:r>
        <w:rPr>
          <w:rFonts w:ascii="Tahoma" w:hAnsi="Tahoma"/>
          <w:b/>
          <w:color w:val="315CA3"/>
          <w:sz w:val="28"/>
        </w:rPr>
        <w:t>Ventilación</w:t>
      </w:r>
    </w:p>
    <w:p w:rsidR="00DB3C4D" w:rsidRPr="0027262A" w:rsidRDefault="00334713" w:rsidP="003818FA">
      <w:pPr>
        <w:pStyle w:val="ColorfulList-Accent11"/>
        <w:numPr>
          <w:ilvl w:val="0"/>
          <w:numId w:val="2"/>
        </w:numPr>
        <w:spacing w:after="220" w:line="240" w:lineRule="auto"/>
        <w:ind w:left="446" w:hanging="446"/>
        <w:contextualSpacing w:val="0"/>
        <w:rPr>
          <w:rFonts w:ascii="Tahoma" w:hAnsi="Tahoma" w:cs="Tahoma"/>
        </w:rPr>
      </w:pPr>
      <w:r>
        <w:rPr>
          <w:rFonts w:ascii="Tahoma" w:hAnsi="Tahoma"/>
        </w:rPr>
        <w:t xml:space="preserve">Use un sistema de </w:t>
      </w:r>
      <w:r>
        <w:rPr>
          <w:rFonts w:ascii="Tahoma" w:hAnsi="Tahoma"/>
          <w:b/>
        </w:rPr>
        <w:t>ventilación de escape local</w:t>
      </w:r>
      <w:r>
        <w:rPr>
          <w:rFonts w:ascii="Tahoma" w:hAnsi="Tahoma"/>
        </w:rPr>
        <w:t xml:space="preserve"> para capturar las partículas de plomo en su origen y evitar que se dispersen hacia el área de trabajo.</w:t>
      </w:r>
    </w:p>
    <w:p w:rsidR="002D7CC6" w:rsidRPr="0027262A" w:rsidRDefault="00334713" w:rsidP="006E4EC2">
      <w:pPr>
        <w:pStyle w:val="ColorfulList-Accent11"/>
        <w:numPr>
          <w:ilvl w:val="0"/>
          <w:numId w:val="2"/>
        </w:numPr>
        <w:spacing w:after="400" w:line="240" w:lineRule="auto"/>
        <w:ind w:left="446" w:hanging="446"/>
        <w:contextualSpacing w:val="0"/>
        <w:rPr>
          <w:rFonts w:ascii="Tahoma" w:hAnsi="Tahoma" w:cs="Tahoma"/>
        </w:rPr>
      </w:pPr>
      <w:r>
        <w:rPr>
          <w:rFonts w:ascii="Tahoma" w:hAnsi="Tahoma"/>
        </w:rPr>
        <w:t>Use un sistema de</w:t>
      </w:r>
      <w:r>
        <w:rPr>
          <w:rFonts w:ascii="Tahoma" w:hAnsi="Tahoma"/>
          <w:b/>
        </w:rPr>
        <w:t xml:space="preserve"> ventilación por dilución </w:t>
      </w:r>
      <w:r>
        <w:rPr>
          <w:rFonts w:ascii="Tahoma" w:hAnsi="Tahoma"/>
        </w:rPr>
        <w:t>para que el aire circule continuamente y diluya los niveles de plomo hasta que estén por debajo del nivel de acción (30 µg/m</w:t>
      </w:r>
      <w:r>
        <w:rPr>
          <w:rFonts w:ascii="Tahoma" w:hAnsi="Tahoma"/>
          <w:vertAlign w:val="superscript"/>
        </w:rPr>
        <w:t>3</w:t>
      </w:r>
      <w:r>
        <w:rPr>
          <w:rFonts w:ascii="Tahoma" w:hAnsi="Tahoma"/>
        </w:rPr>
        <w:t>).</w:t>
      </w:r>
    </w:p>
    <w:p w:rsidR="007018EB" w:rsidRPr="0027262A" w:rsidRDefault="007018EB" w:rsidP="00FB3F77">
      <w:pPr>
        <w:pStyle w:val="ColorfulList-Accent11"/>
        <w:spacing w:after="0" w:line="240" w:lineRule="auto"/>
        <w:ind w:left="0"/>
        <w:contextualSpacing w:val="0"/>
        <w:rPr>
          <w:rFonts w:ascii="Tahoma" w:hAnsi="Tahoma" w:cs="Tahoma"/>
        </w:rPr>
      </w:pPr>
      <w:r>
        <w:rPr>
          <w:rFonts w:ascii="Tahoma" w:hAnsi="Tahoma"/>
        </w:rPr>
        <w:lastRenderedPageBreak/>
        <w:t xml:space="preserve">Se prefieren los sistemas de ventilación de escape local a los sistemas de ventilación por dilución debido a que los primeros eliminan las partículas de plomo del área en la que respira el trabajador, directamente donde se originan. En cambio, los sistemas de ventilación por dilución permiten que las partículas de plomo se dispersen y aumentan significativamente el riesgo de inhalación. </w:t>
      </w:r>
    </w:p>
    <w:p w:rsidR="00C84C8E" w:rsidRDefault="00C84C8E">
      <w:pPr>
        <w:rPr>
          <w:rFonts w:ascii="Tahoma" w:hAnsi="Tahoma"/>
          <w:sz w:val="22"/>
        </w:rPr>
      </w:pPr>
      <w:r>
        <w:rPr>
          <w:rFonts w:ascii="Tahoma" w:hAnsi="Tahoma"/>
          <w:sz w:val="22"/>
        </w:rPr>
        <w:br w:type="page"/>
      </w:r>
    </w:p>
    <w:p w:rsidR="0044688A" w:rsidRPr="0044688A" w:rsidRDefault="0044688A" w:rsidP="0044688A">
      <w:pPr>
        <w:tabs>
          <w:tab w:val="left" w:pos="450"/>
        </w:tabs>
        <w:ind w:left="4"/>
        <w:rPr>
          <w:rFonts w:ascii="Tahoma" w:hAnsi="Tahoma" w:cs="Tahoma"/>
          <w:sz w:val="22"/>
          <w:szCs w:val="22"/>
          <w:lang w:val="es-AR" w:eastAsia="es-US" w:bidi="es-US"/>
        </w:rPr>
      </w:pPr>
      <w:r w:rsidRPr="0044688A">
        <w:rPr>
          <w:rFonts w:ascii="Tahoma" w:hAnsi="Tahoma" w:cs="Tahoma"/>
          <w:vanish/>
          <w:color w:val="A5A5A5" w:themeColor="accent3"/>
          <w:sz w:val="22"/>
          <w:szCs w:val="22"/>
          <w:lang w:val="es-AR" w:eastAsia="es-US" w:bidi="es-US"/>
        </w:rPr>
        <w:lastRenderedPageBreak/>
        <w:t xml:space="preserve">Organization:Date: </w:t>
      </w:r>
      <w:r w:rsidRPr="0044688A">
        <w:rPr>
          <w:rFonts w:ascii="Tahoma" w:hAnsi="Tahoma" w:cs="Tahoma"/>
          <w:sz w:val="22"/>
          <w:szCs w:val="22"/>
          <w:lang w:val="es-AR" w:eastAsia="es-US" w:bidi="es-US"/>
        </w:rPr>
        <w:t>Este formulario deja constancia de que la capacitación que se ha detallado aquí se presentó a los participantes enumerados. Al firmar el presente formulario, cada participante reconoce haber recibido la capacitación.</w:t>
      </w:r>
    </w:p>
    <w:p w:rsidR="0044688A" w:rsidRPr="0044688A" w:rsidRDefault="0044688A" w:rsidP="0044688A">
      <w:pPr>
        <w:tabs>
          <w:tab w:val="left" w:pos="1440"/>
          <w:tab w:val="left" w:pos="2160"/>
        </w:tabs>
        <w:rPr>
          <w:rFonts w:ascii="Tahoma" w:hAnsi="Tahoma" w:cs="Tahoma"/>
          <w:sz w:val="22"/>
          <w:szCs w:val="22"/>
          <w:lang w:val="es-AR" w:eastAsia="es-US" w:bidi="es-US"/>
        </w:rPr>
      </w:pPr>
    </w:p>
    <w:p w:rsidR="0044688A" w:rsidRPr="0044688A" w:rsidRDefault="0044688A" w:rsidP="0044688A">
      <w:pPr>
        <w:tabs>
          <w:tab w:val="left" w:pos="1440"/>
          <w:tab w:val="left" w:pos="2160"/>
        </w:tabs>
        <w:rPr>
          <w:rFonts w:ascii="Tahoma" w:hAnsi="Tahoma" w:cs="Tahoma"/>
          <w:sz w:val="22"/>
          <w:szCs w:val="22"/>
          <w:u w:val="single"/>
          <w:lang w:val="es-AR" w:eastAsia="es-US" w:bidi="es-US"/>
        </w:rPr>
      </w:pPr>
      <w:r w:rsidRPr="0044688A">
        <w:rPr>
          <w:rFonts w:ascii="Tahoma" w:hAnsi="Tahoma" w:cs="Tahoma"/>
          <w:sz w:val="22"/>
          <w:lang w:val="es-AR" w:eastAsia="es-US" w:bidi="es-US"/>
        </w:rPr>
        <w:t>Organización:</w:t>
      </w:r>
      <w:r w:rsidRPr="0044688A">
        <w:rPr>
          <w:rFonts w:ascii="Tahoma" w:hAnsi="Tahoma" w:cs="Tahoma"/>
          <w:sz w:val="22"/>
          <w:szCs w:val="22"/>
          <w:u w:val="single"/>
          <w:lang w:val="es-AR" w:eastAsia="es-US" w:bidi="es-US"/>
        </w:rPr>
        <w:t xml:space="preserve"> </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lang w:val="es-AR" w:eastAsia="es-US" w:bidi="es-US"/>
        </w:rPr>
        <w:t>Fecha:</w:t>
      </w:r>
      <w:r w:rsidRPr="0044688A">
        <w:rPr>
          <w:rFonts w:ascii="Tahoma" w:hAnsi="Tahoma" w:cs="Tahoma"/>
          <w:sz w:val="22"/>
          <w:szCs w:val="22"/>
          <w:u w:val="single"/>
          <w:lang w:val="es-AR" w:eastAsia="es-US" w:bidi="es-US"/>
        </w:rPr>
        <w:t xml:space="preserve"> </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sz w:val="22"/>
          <w:u w:val="single"/>
          <w:lang w:val="es-AR" w:eastAsia="es-US" w:bidi="es-US"/>
        </w:rPr>
        <w:t xml:space="preserve">          </w:t>
      </w:r>
    </w:p>
    <w:p w:rsidR="0044688A" w:rsidRPr="0044688A" w:rsidRDefault="0044688A" w:rsidP="0044688A">
      <w:pPr>
        <w:tabs>
          <w:tab w:val="left" w:pos="1440"/>
          <w:tab w:val="left" w:pos="2160"/>
        </w:tabs>
        <w:rPr>
          <w:rFonts w:ascii="Tahoma" w:hAnsi="Tahoma" w:cs="Tahoma"/>
          <w:sz w:val="22"/>
          <w:szCs w:val="22"/>
          <w:lang w:val="es-AR" w:eastAsia="es-US" w:bidi="es-US"/>
        </w:rPr>
      </w:pPr>
      <w:r w:rsidRPr="0044688A">
        <w:rPr>
          <w:rFonts w:ascii="Tahoma" w:hAnsi="Tahoma" w:cs="Tahoma"/>
          <w:lang w:val="es-AR" w:eastAsia="es-US" w:bidi="es-US"/>
        </w:rPr>
        <w:tab/>
      </w:r>
      <w:r w:rsidRPr="0044688A">
        <w:rPr>
          <w:rFonts w:ascii="Tahoma" w:hAnsi="Tahoma" w:cs="Tahoma"/>
          <w:lang w:val="es-AR" w:eastAsia="es-US" w:bidi="es-US"/>
        </w:rPr>
        <w:tab/>
      </w:r>
    </w:p>
    <w:p w:rsidR="0044688A" w:rsidRPr="0044688A" w:rsidRDefault="0044688A" w:rsidP="0044688A">
      <w:pPr>
        <w:tabs>
          <w:tab w:val="left" w:pos="1440"/>
          <w:tab w:val="left" w:pos="2160"/>
        </w:tabs>
        <w:rPr>
          <w:rFonts w:ascii="Tahoma" w:hAnsi="Tahoma" w:cs="Tahoma"/>
          <w:sz w:val="22"/>
          <w:szCs w:val="22"/>
          <w:u w:val="single"/>
          <w:lang w:val="es-AR" w:eastAsia="es-US" w:bidi="es-US"/>
        </w:rPr>
      </w:pPr>
      <w:r w:rsidRPr="0044688A">
        <w:rPr>
          <w:rFonts w:ascii="Tahoma" w:hAnsi="Tahoma" w:cs="Tahoma"/>
          <w:sz w:val="22"/>
          <w:lang w:val="es-AR" w:eastAsia="es-US" w:bidi="es-US"/>
        </w:rPr>
        <w:t>Instructor:</w:t>
      </w:r>
      <w:r w:rsidRPr="0044688A">
        <w:rPr>
          <w:rFonts w:ascii="Tahoma" w:hAnsi="Tahoma" w:cs="Tahoma"/>
          <w:sz w:val="22"/>
          <w:szCs w:val="22"/>
          <w:u w:val="single"/>
          <w:lang w:val="es-AR" w:eastAsia="es-US" w:bidi="es-US"/>
        </w:rPr>
        <w:t xml:space="preserve"> </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lang w:val="es-AR" w:eastAsia="es-US" w:bidi="es-US"/>
        </w:rPr>
        <w:t>Firma del instructor:</w:t>
      </w:r>
      <w:r w:rsidRPr="0044688A">
        <w:rPr>
          <w:rFonts w:ascii="Tahoma" w:hAnsi="Tahoma" w:cs="Tahoma"/>
          <w:sz w:val="22"/>
          <w:szCs w:val="22"/>
          <w:u w:val="single"/>
          <w:lang w:val="es-AR" w:eastAsia="es-US" w:bidi="es-US"/>
        </w:rPr>
        <w:t xml:space="preserve"> </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r w:rsidRPr="0044688A">
        <w:rPr>
          <w:rFonts w:ascii="Tahoma" w:hAnsi="Tahoma" w:cs="Tahoma"/>
          <w:lang w:val="es-AR" w:eastAsia="es-US" w:bidi="es-US"/>
        </w:rPr>
        <w:tab/>
      </w:r>
    </w:p>
    <w:p w:rsidR="0044688A" w:rsidRPr="0044688A" w:rsidRDefault="0044688A" w:rsidP="0044688A">
      <w:pPr>
        <w:tabs>
          <w:tab w:val="left" w:pos="1440"/>
          <w:tab w:val="left" w:pos="2160"/>
        </w:tabs>
        <w:rPr>
          <w:rFonts w:ascii="Tahoma" w:hAnsi="Tahoma" w:cs="Tahoma"/>
          <w:sz w:val="22"/>
          <w:szCs w:val="22"/>
          <w:lang w:val="es-AR" w:eastAsia="es-US" w:bidi="es-US"/>
        </w:rPr>
      </w:pPr>
    </w:p>
    <w:p w:rsidR="0044688A" w:rsidRPr="0044688A" w:rsidRDefault="0044688A" w:rsidP="0044688A">
      <w:pPr>
        <w:tabs>
          <w:tab w:val="left" w:pos="1440"/>
          <w:tab w:val="left" w:pos="2160"/>
        </w:tabs>
        <w:rPr>
          <w:rFonts w:ascii="Tahoma" w:hAnsi="Tahoma" w:cs="Tahoma"/>
          <w:b/>
          <w:sz w:val="22"/>
          <w:szCs w:val="22"/>
          <w:lang w:val="es-AR" w:eastAsia="es-US" w:bidi="es-US"/>
        </w:rPr>
      </w:pPr>
      <w:r w:rsidRPr="0044688A">
        <w:rPr>
          <w:rFonts w:ascii="Tahoma" w:hAnsi="Tahoma" w:cs="Tahoma"/>
          <w:b/>
          <w:sz w:val="22"/>
          <w:lang w:val="es-AR" w:eastAsia="es-US" w:bidi="es-US"/>
        </w:rPr>
        <w:t>Participantes de la clase:</w:t>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4688A" w:rsidRPr="0044688A" w:rsidRDefault="0044688A" w:rsidP="0044688A">
      <w:pPr>
        <w:tabs>
          <w:tab w:val="left" w:pos="1440"/>
          <w:tab w:val="left" w:pos="2160"/>
        </w:tabs>
        <w:rPr>
          <w:rFonts w:ascii="Tahoma" w:hAnsi="Tahoma" w:cs="Tahoma"/>
          <w:sz w:val="22"/>
          <w:szCs w:val="22"/>
          <w:u w:val="single"/>
          <w:lang w:val="es-US" w:eastAsia="es-US" w:bidi="es-US"/>
        </w:rPr>
      </w:pPr>
      <w:r w:rsidRPr="0044688A">
        <w:rPr>
          <w:rFonts w:ascii="Tahoma" w:hAnsi="Tahoma" w:cs="Tahoma"/>
          <w:sz w:val="22"/>
          <w:szCs w:val="22"/>
          <w:lang w:val="es-US" w:eastAsia="es-US" w:bidi="es-US"/>
        </w:rPr>
        <w:t>Nombre:</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Firma: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lang w:val="es-US" w:eastAsia="es-US" w:bidi="es-US"/>
        </w:rPr>
        <w:t xml:space="preserve"> Fecha:</w:t>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r w:rsidRPr="0044688A">
        <w:rPr>
          <w:rFonts w:ascii="Tahoma" w:hAnsi="Tahoma" w:cs="Tahoma"/>
          <w:sz w:val="22"/>
          <w:szCs w:val="22"/>
          <w:u w:val="single"/>
          <w:lang w:val="es-US" w:eastAsia="es-US" w:bidi="es-US"/>
        </w:rPr>
        <w:tab/>
      </w:r>
    </w:p>
    <w:p w:rsidR="0044688A" w:rsidRPr="0044688A" w:rsidRDefault="0044688A" w:rsidP="0044688A">
      <w:pPr>
        <w:tabs>
          <w:tab w:val="left" w:pos="1440"/>
          <w:tab w:val="left" w:pos="2160"/>
        </w:tabs>
        <w:rPr>
          <w:rFonts w:ascii="Tahoma" w:hAnsi="Tahoma" w:cs="Tahoma"/>
          <w:sz w:val="22"/>
          <w:szCs w:val="22"/>
          <w:u w:val="single"/>
          <w:lang w:val="es-US" w:eastAsia="es-US" w:bidi="es-US"/>
        </w:rPr>
      </w:pPr>
    </w:p>
    <w:p w:rsidR="0045764A" w:rsidRPr="0045764A" w:rsidRDefault="0045764A" w:rsidP="0044688A">
      <w:pPr>
        <w:tabs>
          <w:tab w:val="left" w:pos="1440"/>
          <w:tab w:val="left" w:pos="2160"/>
        </w:tabs>
        <w:spacing w:before="100" w:beforeAutospacing="1" w:after="100" w:afterAutospacing="1"/>
        <w:contextualSpacing/>
        <w:rPr>
          <w:sz w:val="17"/>
          <w:szCs w:val="17"/>
        </w:rPr>
      </w:pPr>
      <w:bookmarkStart w:id="0" w:name="_GoBack"/>
      <w:bookmarkEnd w:id="0"/>
    </w:p>
    <w:sectPr w:rsidR="0045764A" w:rsidRPr="0045764A" w:rsidSect="00755B01">
      <w:headerReference w:type="even" r:id="rId8"/>
      <w:headerReference w:type="default" r:id="rId9"/>
      <w:footerReference w:type="default" r:id="rId10"/>
      <w:headerReference w:type="first" r:id="rId11"/>
      <w:pgSz w:w="12240" w:h="15840"/>
      <w:pgMar w:top="905"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8DD" w:rsidRDefault="002C28DD">
      <w:r>
        <w:separator/>
      </w:r>
    </w:p>
  </w:endnote>
  <w:endnote w:type="continuationSeparator" w:id="0">
    <w:p w:rsidR="002C28DD" w:rsidRDefault="002C2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A1" w:rsidRPr="00EA3DA1" w:rsidRDefault="00EA3DA1">
    <w:pPr>
      <w:pStyle w:val="Footer"/>
      <w:jc w:val="right"/>
      <w:rPr>
        <w:rFonts w:ascii="Tahoma" w:hAnsi="Tahoma" w:cs="Tahoma"/>
        <w:sz w:val="18"/>
        <w:szCs w:val="18"/>
      </w:rPr>
    </w:pPr>
    <w:r w:rsidRPr="00EA3DA1">
      <w:rPr>
        <w:rFonts w:ascii="Tahoma" w:hAnsi="Tahoma" w:cs="Tahoma"/>
        <w:sz w:val="18"/>
        <w:szCs w:val="18"/>
      </w:rPr>
      <w:fldChar w:fldCharType="begin"/>
    </w:r>
    <w:r w:rsidRPr="00EA3DA1">
      <w:rPr>
        <w:rFonts w:ascii="Tahoma" w:hAnsi="Tahoma" w:cs="Tahoma"/>
        <w:sz w:val="18"/>
        <w:szCs w:val="18"/>
      </w:rPr>
      <w:instrText xml:space="preserve"> PAGE   \* MERGEFORMAT </w:instrText>
    </w:r>
    <w:r w:rsidRPr="00EA3DA1">
      <w:rPr>
        <w:rFonts w:ascii="Tahoma" w:hAnsi="Tahoma" w:cs="Tahoma"/>
        <w:sz w:val="18"/>
        <w:szCs w:val="18"/>
      </w:rPr>
      <w:fldChar w:fldCharType="separate"/>
    </w:r>
    <w:r w:rsidR="0030609C">
      <w:rPr>
        <w:rFonts w:ascii="Tahoma" w:hAnsi="Tahoma" w:cs="Tahoma"/>
        <w:noProof/>
        <w:sz w:val="18"/>
        <w:szCs w:val="18"/>
      </w:rPr>
      <w:t>3</w:t>
    </w:r>
    <w:r w:rsidRPr="00EA3DA1">
      <w:rPr>
        <w:rFonts w:ascii="Tahoma" w:hAnsi="Tahoma" w:cs="Tahoma"/>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8DD" w:rsidRDefault="002C28DD">
      <w:r>
        <w:separator/>
      </w:r>
    </w:p>
  </w:footnote>
  <w:footnote w:type="continuationSeparator" w:id="0">
    <w:p w:rsidR="002C28DD" w:rsidRDefault="002C2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060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2" type="#_x0000_t75" style="position:absolute;margin-left:0;margin-top:0;width:609.4pt;height:647.7pt;z-index:-251658240;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8EA" w:rsidRPr="000D0B76" w:rsidRDefault="00B968EA" w:rsidP="00C47C08">
    <w:pPr>
      <w:rPr>
        <w:rFonts w:ascii="Tahoma" w:hAnsi="Tahoma" w:cs="Tahoma"/>
        <w:sz w:val="24"/>
        <w:szCs w:val="24"/>
      </w:rPr>
    </w:pPr>
  </w:p>
  <w:p w:rsidR="00B968EA" w:rsidRDefault="00B968EA" w:rsidP="00C47C08">
    <w:pPr>
      <w:rPr>
        <w:rFonts w:ascii="Tahoma" w:hAnsi="Tahoma" w:cs="Tahoma"/>
        <w:sz w:val="24"/>
        <w:szCs w:val="24"/>
      </w:rPr>
    </w:pPr>
  </w:p>
  <w:p w:rsidR="00B968EA" w:rsidRPr="000D0B76" w:rsidRDefault="00B968EA" w:rsidP="00C47C08">
    <w:pPr>
      <w:rPr>
        <w:rFonts w:ascii="Tahoma" w:hAnsi="Tahoma" w:cs="Tahoma"/>
        <w:sz w:val="24"/>
        <w:szCs w:val="24"/>
      </w:rPr>
    </w:pPr>
  </w:p>
  <w:tbl>
    <w:tblPr>
      <w:tblW w:w="10890"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4"/>
      <w:gridCol w:w="3866"/>
    </w:tblGrid>
    <w:tr w:rsidR="00B968EA" w:rsidRPr="001B1D0E" w:rsidTr="00D136D5">
      <w:trPr>
        <w:trHeight w:val="422"/>
      </w:trPr>
      <w:tc>
        <w:tcPr>
          <w:tcW w:w="7024" w:type="dxa"/>
          <w:tcBorders>
            <w:top w:val="nil"/>
            <w:left w:val="nil"/>
            <w:bottom w:val="single" w:sz="4" w:space="0" w:color="auto"/>
            <w:right w:val="nil"/>
          </w:tcBorders>
          <w:shd w:val="clear" w:color="auto" w:fill="auto"/>
        </w:tcPr>
        <w:p w:rsidR="00B968EA" w:rsidRPr="001B1D0E" w:rsidRDefault="0019097A" w:rsidP="00B968EA">
          <w:pPr>
            <w:pStyle w:val="NormalWeb"/>
            <w:spacing w:before="0" w:beforeAutospacing="0" w:after="0" w:afterAutospacing="0"/>
            <w:ind w:right="720"/>
            <w:rPr>
              <w:rFonts w:ascii="Tahoma" w:hAnsi="Tahoma" w:cs="Tahoma"/>
              <w:sz w:val="22"/>
              <w:szCs w:val="22"/>
            </w:rPr>
          </w:pPr>
          <w:r>
            <w:rPr>
              <w:rFonts w:ascii="Tahoma" w:hAnsi="Tahoma"/>
              <w:sz w:val="22"/>
            </w:rPr>
            <w:t>Concientización sobre plomo</w:t>
          </w:r>
        </w:p>
      </w:tc>
      <w:tc>
        <w:tcPr>
          <w:tcW w:w="3866" w:type="dxa"/>
          <w:tcBorders>
            <w:top w:val="nil"/>
            <w:left w:val="nil"/>
            <w:bottom w:val="single" w:sz="4" w:space="0" w:color="auto"/>
            <w:right w:val="nil"/>
          </w:tcBorders>
          <w:shd w:val="clear" w:color="auto" w:fill="auto"/>
        </w:tcPr>
        <w:p w:rsidR="00B968EA" w:rsidRPr="001B1D0E" w:rsidRDefault="00B968EA" w:rsidP="00B968EA">
          <w:pPr>
            <w:pStyle w:val="NormalWeb"/>
            <w:tabs>
              <w:tab w:val="left" w:pos="1782"/>
            </w:tabs>
            <w:spacing w:before="0" w:beforeAutospacing="0" w:after="0" w:afterAutospacing="0"/>
            <w:jc w:val="right"/>
            <w:rPr>
              <w:rFonts w:ascii="Tahoma" w:hAnsi="Tahoma" w:cs="Tahoma"/>
              <w:sz w:val="22"/>
              <w:szCs w:val="22"/>
            </w:rPr>
          </w:pPr>
          <w:r>
            <w:rPr>
              <w:rFonts w:ascii="Tahoma" w:hAnsi="Tahoma"/>
              <w:sz w:val="22"/>
            </w:rPr>
            <w:t>Capacitación breve</w:t>
          </w:r>
        </w:p>
      </w:tc>
    </w:tr>
    <w:tr w:rsidR="00F428A2" w:rsidRPr="001B1D0E" w:rsidTr="00D10533">
      <w:tc>
        <w:tcPr>
          <w:tcW w:w="10890" w:type="dxa"/>
          <w:gridSpan w:val="2"/>
          <w:tcBorders>
            <w:top w:val="single" w:sz="4" w:space="0" w:color="auto"/>
            <w:left w:val="nil"/>
            <w:bottom w:val="nil"/>
            <w:right w:val="nil"/>
          </w:tcBorders>
          <w:shd w:val="clear" w:color="auto" w:fill="auto"/>
        </w:tcPr>
        <w:p w:rsidR="00F428A2" w:rsidRPr="001B1D0E" w:rsidRDefault="00413FF1" w:rsidP="0019097A">
          <w:pPr>
            <w:pStyle w:val="NormalWeb"/>
            <w:spacing w:before="120" w:beforeAutospacing="0" w:afterAutospacing="0"/>
            <w:ind w:right="720"/>
            <w:rPr>
              <w:rFonts w:ascii="Tahoma" w:hAnsi="Tahoma" w:cs="Tahoma"/>
              <w:color w:val="DA5500"/>
              <w:sz w:val="28"/>
              <w:szCs w:val="28"/>
            </w:rPr>
          </w:pPr>
          <w:r>
            <w:rPr>
              <w:rFonts w:ascii="Tahoma" w:hAnsi="Tahoma"/>
              <w:b/>
              <w:color w:val="DA5500"/>
              <w:sz w:val="40"/>
            </w:rPr>
            <w:t>Controles de ingeniería</w:t>
          </w:r>
        </w:p>
      </w:tc>
    </w:tr>
  </w:tbl>
  <w:p w:rsidR="00B968EA" w:rsidRPr="002C0256" w:rsidRDefault="00A907A9" w:rsidP="00A907A9">
    <w:pPr>
      <w:pStyle w:val="Header"/>
      <w:tabs>
        <w:tab w:val="clear" w:pos="4320"/>
        <w:tab w:val="clear" w:pos="8640"/>
        <w:tab w:val="left" w:pos="1628"/>
      </w:tabs>
      <w:ind w:right="-1440"/>
      <w:rPr>
        <w:sz w:val="24"/>
        <w:szCs w:val="24"/>
      </w:rPr>
    </w:pPr>
    <w:r>
      <w:tab/>
    </w:r>
  </w:p>
  <w:p w:rsidR="00FF6E4F" w:rsidRPr="002C0256" w:rsidRDefault="00FF6E4F" w:rsidP="000420BE">
    <w:pPr>
      <w:pStyle w:val="Header"/>
      <w:ind w:firstLine="720"/>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6E4F" w:rsidRDefault="0030609C">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1" type="#_x0000_t75" style="position:absolute;margin-left:0;margin-top:0;width:609.4pt;height:647.7pt;z-index:-251659264;mso-position-horizontal:center;mso-position-horizontal-relative:margin;mso-position-vertical:center;mso-position-vertical-relative:margin" o:allowincell="f">
          <v:imagedata r:id="rId1" o:title="SMS_Blocks - Solid (GIF)"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A1BFE"/>
    <w:multiLevelType w:val="hybridMultilevel"/>
    <w:tmpl w:val="BDFE6490"/>
    <w:lvl w:ilvl="0" w:tplc="04090001">
      <w:start w:val="1"/>
      <w:numFmt w:val="bullet"/>
      <w:lvlText w:val=""/>
      <w:lvlJc w:val="left"/>
      <w:pPr>
        <w:ind w:left="360" w:hanging="360"/>
      </w:pPr>
      <w:rPr>
        <w:rFonts w:ascii="Symbol" w:hAnsi="Symbol" w:hint="default"/>
      </w:rPr>
    </w:lvl>
    <w:lvl w:ilvl="1" w:tplc="677A4986">
      <w:start w:val="1"/>
      <w:numFmt w:val="bullet"/>
      <w:lvlText w:val="­"/>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DD43D81"/>
    <w:multiLevelType w:val="hybridMultilevel"/>
    <w:tmpl w:val="634483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F20402"/>
    <w:multiLevelType w:val="hybridMultilevel"/>
    <w:tmpl w:val="CB923B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612D3F3A"/>
    <w:multiLevelType w:val="hybridMultilevel"/>
    <w:tmpl w:val="B83C7DD8"/>
    <w:lvl w:ilvl="0" w:tplc="7C86AB1C">
      <w:numFmt w:val="bullet"/>
      <w:lvlText w:val="‒"/>
      <w:lvlJc w:val="left"/>
      <w:pPr>
        <w:ind w:left="360" w:hanging="360"/>
      </w:pPr>
      <w:rPr>
        <w:rFonts w:ascii="Tahoma" w:hAnsi="Tahoma"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D44"/>
    <w:rsid w:val="00004471"/>
    <w:rsid w:val="00011004"/>
    <w:rsid w:val="00030255"/>
    <w:rsid w:val="000420BE"/>
    <w:rsid w:val="00050535"/>
    <w:rsid w:val="00066622"/>
    <w:rsid w:val="000701BE"/>
    <w:rsid w:val="00080B9E"/>
    <w:rsid w:val="000B2B03"/>
    <w:rsid w:val="000B595F"/>
    <w:rsid w:val="000B7CC5"/>
    <w:rsid w:val="000C63D7"/>
    <w:rsid w:val="000C6488"/>
    <w:rsid w:val="000E3BD9"/>
    <w:rsid w:val="000F4B7B"/>
    <w:rsid w:val="000F7B87"/>
    <w:rsid w:val="00101E99"/>
    <w:rsid w:val="00125460"/>
    <w:rsid w:val="00134016"/>
    <w:rsid w:val="0015166E"/>
    <w:rsid w:val="001657E2"/>
    <w:rsid w:val="00167413"/>
    <w:rsid w:val="00170124"/>
    <w:rsid w:val="00177A03"/>
    <w:rsid w:val="001802D4"/>
    <w:rsid w:val="0019097A"/>
    <w:rsid w:val="001E6998"/>
    <w:rsid w:val="00206FD9"/>
    <w:rsid w:val="002075F3"/>
    <w:rsid w:val="00226296"/>
    <w:rsid w:val="00226854"/>
    <w:rsid w:val="0024241C"/>
    <w:rsid w:val="002537E9"/>
    <w:rsid w:val="00262898"/>
    <w:rsid w:val="00265299"/>
    <w:rsid w:val="0027262A"/>
    <w:rsid w:val="00272B52"/>
    <w:rsid w:val="00280478"/>
    <w:rsid w:val="0028530C"/>
    <w:rsid w:val="002A1E9D"/>
    <w:rsid w:val="002C0256"/>
    <w:rsid w:val="002C28DD"/>
    <w:rsid w:val="002D6590"/>
    <w:rsid w:val="002D7CC6"/>
    <w:rsid w:val="002E66D9"/>
    <w:rsid w:val="002F60F0"/>
    <w:rsid w:val="00305964"/>
    <w:rsid w:val="0030609C"/>
    <w:rsid w:val="00311401"/>
    <w:rsid w:val="00315F40"/>
    <w:rsid w:val="00322552"/>
    <w:rsid w:val="00330324"/>
    <w:rsid w:val="00334713"/>
    <w:rsid w:val="00335DE1"/>
    <w:rsid w:val="00335F9B"/>
    <w:rsid w:val="00350477"/>
    <w:rsid w:val="003818FA"/>
    <w:rsid w:val="003A477C"/>
    <w:rsid w:val="003B49F1"/>
    <w:rsid w:val="003C29FB"/>
    <w:rsid w:val="003C6631"/>
    <w:rsid w:val="003C727A"/>
    <w:rsid w:val="003F5634"/>
    <w:rsid w:val="004115E5"/>
    <w:rsid w:val="00413FF1"/>
    <w:rsid w:val="00427296"/>
    <w:rsid w:val="00444465"/>
    <w:rsid w:val="00444BFC"/>
    <w:rsid w:val="0044688A"/>
    <w:rsid w:val="00450B9E"/>
    <w:rsid w:val="0045764A"/>
    <w:rsid w:val="0046728B"/>
    <w:rsid w:val="00470F16"/>
    <w:rsid w:val="00471858"/>
    <w:rsid w:val="004822A7"/>
    <w:rsid w:val="00484B70"/>
    <w:rsid w:val="0049004F"/>
    <w:rsid w:val="00492C02"/>
    <w:rsid w:val="004A0360"/>
    <w:rsid w:val="004B10C5"/>
    <w:rsid w:val="004B246A"/>
    <w:rsid w:val="004B68BD"/>
    <w:rsid w:val="004B7878"/>
    <w:rsid w:val="004B7EBB"/>
    <w:rsid w:val="004D122E"/>
    <w:rsid w:val="004D33CC"/>
    <w:rsid w:val="004D5977"/>
    <w:rsid w:val="004E1B27"/>
    <w:rsid w:val="004E1C76"/>
    <w:rsid w:val="004F303E"/>
    <w:rsid w:val="00506C27"/>
    <w:rsid w:val="00512A26"/>
    <w:rsid w:val="005271CD"/>
    <w:rsid w:val="0052722C"/>
    <w:rsid w:val="005330C2"/>
    <w:rsid w:val="005405B2"/>
    <w:rsid w:val="00541304"/>
    <w:rsid w:val="00560968"/>
    <w:rsid w:val="005667BF"/>
    <w:rsid w:val="00574EBB"/>
    <w:rsid w:val="005759B4"/>
    <w:rsid w:val="00580B58"/>
    <w:rsid w:val="005977AF"/>
    <w:rsid w:val="005A00E0"/>
    <w:rsid w:val="005C64E0"/>
    <w:rsid w:val="005E0F0D"/>
    <w:rsid w:val="005E57EA"/>
    <w:rsid w:val="005F1C74"/>
    <w:rsid w:val="005F6B61"/>
    <w:rsid w:val="0060244B"/>
    <w:rsid w:val="0063301D"/>
    <w:rsid w:val="00633E48"/>
    <w:rsid w:val="00643DC2"/>
    <w:rsid w:val="006470CB"/>
    <w:rsid w:val="0065122E"/>
    <w:rsid w:val="006569D4"/>
    <w:rsid w:val="00661A2C"/>
    <w:rsid w:val="00670A6F"/>
    <w:rsid w:val="00681266"/>
    <w:rsid w:val="006A4482"/>
    <w:rsid w:val="006A55E8"/>
    <w:rsid w:val="006C030B"/>
    <w:rsid w:val="006D03B0"/>
    <w:rsid w:val="006D2651"/>
    <w:rsid w:val="006D450A"/>
    <w:rsid w:val="006E3AA5"/>
    <w:rsid w:val="006E4EC2"/>
    <w:rsid w:val="006F39C1"/>
    <w:rsid w:val="006F5957"/>
    <w:rsid w:val="007018EB"/>
    <w:rsid w:val="007053A6"/>
    <w:rsid w:val="00706C27"/>
    <w:rsid w:val="007123FF"/>
    <w:rsid w:val="007124C3"/>
    <w:rsid w:val="0071343F"/>
    <w:rsid w:val="00713E7B"/>
    <w:rsid w:val="00717C34"/>
    <w:rsid w:val="00721B18"/>
    <w:rsid w:val="0072438B"/>
    <w:rsid w:val="0073622D"/>
    <w:rsid w:val="00745815"/>
    <w:rsid w:val="007471ED"/>
    <w:rsid w:val="00755B01"/>
    <w:rsid w:val="00756B2D"/>
    <w:rsid w:val="00783265"/>
    <w:rsid w:val="00786B93"/>
    <w:rsid w:val="007A064D"/>
    <w:rsid w:val="007A2DAB"/>
    <w:rsid w:val="007B329D"/>
    <w:rsid w:val="007B63BE"/>
    <w:rsid w:val="007C5B37"/>
    <w:rsid w:val="007D6F55"/>
    <w:rsid w:val="007F3E26"/>
    <w:rsid w:val="007F6E6A"/>
    <w:rsid w:val="00812B83"/>
    <w:rsid w:val="00823703"/>
    <w:rsid w:val="008272DA"/>
    <w:rsid w:val="00833B6C"/>
    <w:rsid w:val="00841EAC"/>
    <w:rsid w:val="00844759"/>
    <w:rsid w:val="00854C82"/>
    <w:rsid w:val="008818F2"/>
    <w:rsid w:val="00883015"/>
    <w:rsid w:val="008918CA"/>
    <w:rsid w:val="008A0094"/>
    <w:rsid w:val="008A372E"/>
    <w:rsid w:val="008B7A72"/>
    <w:rsid w:val="00910830"/>
    <w:rsid w:val="00926290"/>
    <w:rsid w:val="00934757"/>
    <w:rsid w:val="0094297A"/>
    <w:rsid w:val="00967005"/>
    <w:rsid w:val="009818F4"/>
    <w:rsid w:val="0098779E"/>
    <w:rsid w:val="0099107E"/>
    <w:rsid w:val="00996800"/>
    <w:rsid w:val="009B5BF6"/>
    <w:rsid w:val="009C5486"/>
    <w:rsid w:val="009C5FA7"/>
    <w:rsid w:val="009C76B7"/>
    <w:rsid w:val="009E17F9"/>
    <w:rsid w:val="009F59F6"/>
    <w:rsid w:val="009F6923"/>
    <w:rsid w:val="00A0664B"/>
    <w:rsid w:val="00A24109"/>
    <w:rsid w:val="00A3582A"/>
    <w:rsid w:val="00A56B16"/>
    <w:rsid w:val="00A75770"/>
    <w:rsid w:val="00A84185"/>
    <w:rsid w:val="00A907A9"/>
    <w:rsid w:val="00AB2D4E"/>
    <w:rsid w:val="00AB6FBC"/>
    <w:rsid w:val="00AC6A6C"/>
    <w:rsid w:val="00AD0DF2"/>
    <w:rsid w:val="00AE3C61"/>
    <w:rsid w:val="00AE3D93"/>
    <w:rsid w:val="00B01A96"/>
    <w:rsid w:val="00B1132E"/>
    <w:rsid w:val="00B36A6D"/>
    <w:rsid w:val="00B4261E"/>
    <w:rsid w:val="00B469D6"/>
    <w:rsid w:val="00B470C3"/>
    <w:rsid w:val="00B61B06"/>
    <w:rsid w:val="00B63803"/>
    <w:rsid w:val="00B724D8"/>
    <w:rsid w:val="00B73408"/>
    <w:rsid w:val="00B82BF8"/>
    <w:rsid w:val="00B87F62"/>
    <w:rsid w:val="00B955DF"/>
    <w:rsid w:val="00B968EA"/>
    <w:rsid w:val="00BB00D8"/>
    <w:rsid w:val="00BC1EF8"/>
    <w:rsid w:val="00BC2238"/>
    <w:rsid w:val="00BC41DA"/>
    <w:rsid w:val="00BE1208"/>
    <w:rsid w:val="00BE1E43"/>
    <w:rsid w:val="00C208CE"/>
    <w:rsid w:val="00C22B8A"/>
    <w:rsid w:val="00C47C08"/>
    <w:rsid w:val="00C61136"/>
    <w:rsid w:val="00C72B56"/>
    <w:rsid w:val="00C817E4"/>
    <w:rsid w:val="00C84C8E"/>
    <w:rsid w:val="00C8786D"/>
    <w:rsid w:val="00C965C7"/>
    <w:rsid w:val="00CA5AB4"/>
    <w:rsid w:val="00CB0D44"/>
    <w:rsid w:val="00CC05F1"/>
    <w:rsid w:val="00CD1603"/>
    <w:rsid w:val="00CD6FCF"/>
    <w:rsid w:val="00CE4FA6"/>
    <w:rsid w:val="00CE64A1"/>
    <w:rsid w:val="00CF2700"/>
    <w:rsid w:val="00D140CD"/>
    <w:rsid w:val="00D152FE"/>
    <w:rsid w:val="00D155E9"/>
    <w:rsid w:val="00D26C2D"/>
    <w:rsid w:val="00D3162C"/>
    <w:rsid w:val="00D31B81"/>
    <w:rsid w:val="00D373D4"/>
    <w:rsid w:val="00D455CB"/>
    <w:rsid w:val="00D72EB8"/>
    <w:rsid w:val="00D81022"/>
    <w:rsid w:val="00D87568"/>
    <w:rsid w:val="00DB15E7"/>
    <w:rsid w:val="00DB3C4D"/>
    <w:rsid w:val="00DC0ED2"/>
    <w:rsid w:val="00DC1E08"/>
    <w:rsid w:val="00DC2D57"/>
    <w:rsid w:val="00DC53EF"/>
    <w:rsid w:val="00DC7660"/>
    <w:rsid w:val="00DC76B4"/>
    <w:rsid w:val="00DD151A"/>
    <w:rsid w:val="00DD6F08"/>
    <w:rsid w:val="00DF6871"/>
    <w:rsid w:val="00E0383E"/>
    <w:rsid w:val="00E05649"/>
    <w:rsid w:val="00E20D1F"/>
    <w:rsid w:val="00E30D9E"/>
    <w:rsid w:val="00E65C3C"/>
    <w:rsid w:val="00E667CF"/>
    <w:rsid w:val="00E737B6"/>
    <w:rsid w:val="00E87429"/>
    <w:rsid w:val="00E9219C"/>
    <w:rsid w:val="00E964DD"/>
    <w:rsid w:val="00EA3DA1"/>
    <w:rsid w:val="00EA5672"/>
    <w:rsid w:val="00EC7030"/>
    <w:rsid w:val="00ED2FE2"/>
    <w:rsid w:val="00EE0067"/>
    <w:rsid w:val="00EE0DCC"/>
    <w:rsid w:val="00F03185"/>
    <w:rsid w:val="00F068B0"/>
    <w:rsid w:val="00F200EA"/>
    <w:rsid w:val="00F41775"/>
    <w:rsid w:val="00F428A2"/>
    <w:rsid w:val="00F4315C"/>
    <w:rsid w:val="00F44011"/>
    <w:rsid w:val="00F52C82"/>
    <w:rsid w:val="00F5580E"/>
    <w:rsid w:val="00F57D15"/>
    <w:rsid w:val="00F6041B"/>
    <w:rsid w:val="00F77A85"/>
    <w:rsid w:val="00F8599D"/>
    <w:rsid w:val="00F94A53"/>
    <w:rsid w:val="00FA5FA3"/>
    <w:rsid w:val="00FB3F77"/>
    <w:rsid w:val="00FC23F0"/>
    <w:rsid w:val="00FC3083"/>
    <w:rsid w:val="00FE4E97"/>
    <w:rsid w:val="00FF6E4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BEBC9930-D183-4590-8F51-3B502D7A4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es-ES"/>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80B9E"/>
    <w:rPr>
      <w:rFonts w:ascii="Arial" w:hAnsi="Arial"/>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ED2"/>
    <w:pPr>
      <w:tabs>
        <w:tab w:val="center" w:pos="4320"/>
        <w:tab w:val="right" w:pos="8640"/>
      </w:tabs>
    </w:pPr>
  </w:style>
  <w:style w:type="paragraph" w:styleId="Footer">
    <w:name w:val="footer"/>
    <w:basedOn w:val="Normal"/>
    <w:link w:val="FooterChar"/>
    <w:uiPriority w:val="99"/>
    <w:rsid w:val="00DC0ED2"/>
    <w:pPr>
      <w:tabs>
        <w:tab w:val="center" w:pos="4320"/>
        <w:tab w:val="right" w:pos="8640"/>
      </w:tabs>
    </w:pPr>
  </w:style>
  <w:style w:type="paragraph" w:styleId="NormalWeb">
    <w:name w:val="Normal (Web)"/>
    <w:basedOn w:val="Normal"/>
    <w:rsid w:val="00CE64A1"/>
    <w:pPr>
      <w:spacing w:before="100" w:beforeAutospacing="1" w:after="100" w:afterAutospacing="1"/>
    </w:pPr>
  </w:style>
  <w:style w:type="character" w:styleId="Strong">
    <w:name w:val="Strong"/>
    <w:qFormat/>
    <w:rsid w:val="00783265"/>
    <w:rPr>
      <w:b/>
      <w:bCs/>
    </w:rPr>
  </w:style>
  <w:style w:type="paragraph" w:customStyle="1" w:styleId="ColorfulList-Accent11">
    <w:name w:val="Colorful List - Accent 11"/>
    <w:basedOn w:val="Normal"/>
    <w:uiPriority w:val="34"/>
    <w:qFormat/>
    <w:rsid w:val="00DC2D57"/>
    <w:pPr>
      <w:spacing w:after="200" w:line="276" w:lineRule="auto"/>
      <w:ind w:left="720"/>
      <w:contextualSpacing/>
    </w:pPr>
    <w:rPr>
      <w:rFonts w:ascii="Calibri" w:hAnsi="Calibri"/>
      <w:sz w:val="22"/>
      <w:szCs w:val="22"/>
    </w:rPr>
  </w:style>
  <w:style w:type="paragraph" w:styleId="BalloonText">
    <w:name w:val="Balloon Text"/>
    <w:basedOn w:val="Normal"/>
    <w:link w:val="BalloonTextChar"/>
    <w:rsid w:val="00101E99"/>
    <w:rPr>
      <w:rFonts w:ascii="Tahoma" w:hAnsi="Tahoma" w:cs="Tahoma"/>
      <w:sz w:val="16"/>
      <w:szCs w:val="16"/>
    </w:rPr>
  </w:style>
  <w:style w:type="character" w:customStyle="1" w:styleId="BalloonTextChar">
    <w:name w:val="Balloon Text Char"/>
    <w:link w:val="BalloonText"/>
    <w:rsid w:val="00101E99"/>
    <w:rPr>
      <w:rFonts w:ascii="Tahoma" w:hAnsi="Tahoma" w:cs="Tahoma"/>
      <w:sz w:val="16"/>
      <w:szCs w:val="16"/>
    </w:rPr>
  </w:style>
  <w:style w:type="character" w:styleId="CommentReference">
    <w:name w:val="annotation reference"/>
    <w:rsid w:val="007123FF"/>
    <w:rPr>
      <w:sz w:val="16"/>
      <w:szCs w:val="16"/>
    </w:rPr>
  </w:style>
  <w:style w:type="paragraph" w:styleId="CommentText">
    <w:name w:val="annotation text"/>
    <w:basedOn w:val="Normal"/>
    <w:link w:val="CommentTextChar"/>
    <w:rsid w:val="007123FF"/>
    <w:rPr>
      <w:sz w:val="20"/>
    </w:rPr>
  </w:style>
  <w:style w:type="character" w:customStyle="1" w:styleId="CommentTextChar">
    <w:name w:val="Comment Text Char"/>
    <w:link w:val="CommentText"/>
    <w:rsid w:val="007123FF"/>
    <w:rPr>
      <w:rFonts w:ascii="Arial" w:hAnsi="Arial"/>
    </w:rPr>
  </w:style>
  <w:style w:type="paragraph" w:styleId="CommentSubject">
    <w:name w:val="annotation subject"/>
    <w:basedOn w:val="CommentText"/>
    <w:next w:val="CommentText"/>
    <w:link w:val="CommentSubjectChar"/>
    <w:rsid w:val="007123FF"/>
    <w:rPr>
      <w:b/>
      <w:bCs/>
    </w:rPr>
  </w:style>
  <w:style w:type="character" w:customStyle="1" w:styleId="CommentSubjectChar">
    <w:name w:val="Comment Subject Char"/>
    <w:link w:val="CommentSubject"/>
    <w:rsid w:val="007123FF"/>
    <w:rPr>
      <w:rFonts w:ascii="Arial" w:hAnsi="Arial"/>
      <w:b/>
      <w:bCs/>
    </w:rPr>
  </w:style>
  <w:style w:type="character" w:customStyle="1" w:styleId="HeaderChar">
    <w:name w:val="Header Char"/>
    <w:link w:val="Header"/>
    <w:uiPriority w:val="99"/>
    <w:rsid w:val="00755B01"/>
    <w:rPr>
      <w:rFonts w:ascii="Arial" w:hAnsi="Arial"/>
      <w:sz w:val="32"/>
    </w:rPr>
  </w:style>
  <w:style w:type="paragraph" w:styleId="ListParagraph">
    <w:name w:val="List Paragraph"/>
    <w:basedOn w:val="Normal"/>
    <w:uiPriority w:val="34"/>
    <w:qFormat/>
    <w:rsid w:val="00755B01"/>
    <w:pPr>
      <w:ind w:left="720"/>
      <w:contextualSpacing/>
    </w:pPr>
  </w:style>
  <w:style w:type="character" w:customStyle="1" w:styleId="FooterChar">
    <w:name w:val="Footer Char"/>
    <w:link w:val="Footer"/>
    <w:uiPriority w:val="99"/>
    <w:rsid w:val="00EA3DA1"/>
    <w:rPr>
      <w:rFonts w:ascii="Arial" w:hAnsi="Arial"/>
      <w:sz w:val="32"/>
    </w:rPr>
  </w:style>
  <w:style w:type="character" w:styleId="Hyperlink">
    <w:name w:val="Hyperlink"/>
    <w:rsid w:val="00D152FE"/>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028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CF8D9-F996-4311-9F3D-282E92D3B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443</Words>
  <Characters>2527</Characters>
  <Application>Microsoft Office Word</Application>
  <DocSecurity>4</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Succeed Management Solutions, LLC</Company>
  <LinksUpToDate>false</LinksUpToDate>
  <CharactersWithSpaces>2965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Succeed Management Solutions, LLC ©</dc:creator>
  <cp:lastModifiedBy>Hillarie Thomas</cp:lastModifiedBy>
  <cp:revision>2</cp:revision>
  <cp:lastPrinted>2014-12-17T00:20:00Z</cp:lastPrinted>
  <dcterms:created xsi:type="dcterms:W3CDTF">2018-04-02T23:20:00Z</dcterms:created>
  <dcterms:modified xsi:type="dcterms:W3CDTF">2018-04-02T23:20:00Z</dcterms:modified>
</cp:coreProperties>
</file>