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C8" w:rsidRPr="00BB7042" w:rsidRDefault="00CC3AC0" w:rsidP="0072486B">
      <w:pPr>
        <w:pStyle w:val="NormalWeb"/>
        <w:spacing w:before="0" w:beforeAutospacing="0" w:after="400" w:afterAutospacing="0"/>
        <w:rPr>
          <w:rFonts w:ascii="Tahoma" w:hAnsi="Tahoma" w:cs="Tahoma"/>
          <w:b/>
          <w:color w:val="DA5500"/>
          <w:sz w:val="36"/>
          <w:szCs w:val="36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Los cilindros de gas comprimido son un aspecto peligroso pero necesario del trabajo en caliente. Pueden contener materiales tóxi</w:t>
      </w:r>
      <w:r w:rsidR="002F4AC1">
        <w:rPr>
          <w:rFonts w:ascii="Tahoma" w:hAnsi="Tahoma"/>
          <w:color w:val="000000"/>
          <w:sz w:val="22"/>
          <w:lang w:val="es-AR"/>
        </w:rPr>
        <w:t>cos, inflamables, supresores de</w:t>
      </w:r>
      <w:r w:rsidRPr="00BB7042">
        <w:rPr>
          <w:rFonts w:ascii="Tahoma" w:hAnsi="Tahoma"/>
          <w:color w:val="000000"/>
          <w:sz w:val="22"/>
          <w:lang w:val="es-AR"/>
        </w:rPr>
        <w:t xml:space="preserve"> oxígeno o explosivos y pueden convertirse en proyectiles si su contenido </w:t>
      </w:r>
      <w:r w:rsidR="00D516A6" w:rsidRPr="00BB7042">
        <w:rPr>
          <w:rFonts w:ascii="Tahoma" w:hAnsi="Tahoma"/>
          <w:color w:val="000000"/>
          <w:sz w:val="22"/>
          <w:lang w:val="es-AR"/>
        </w:rPr>
        <w:t xml:space="preserve">se </w:t>
      </w:r>
      <w:r w:rsidR="00D516A6">
        <w:rPr>
          <w:rFonts w:ascii="Tahoma" w:hAnsi="Tahoma"/>
          <w:color w:val="000000"/>
          <w:sz w:val="22"/>
          <w:lang w:val="es-AR"/>
        </w:rPr>
        <w:t>descarga</w:t>
      </w:r>
      <w:r w:rsidR="00D516A6" w:rsidRPr="00BB7042">
        <w:rPr>
          <w:rFonts w:ascii="Tahoma" w:hAnsi="Tahoma"/>
          <w:color w:val="000000"/>
          <w:sz w:val="22"/>
          <w:lang w:val="es-AR"/>
        </w:rPr>
        <w:t xml:space="preserve"> </w:t>
      </w:r>
      <w:r w:rsidRPr="00BB7042">
        <w:rPr>
          <w:rFonts w:ascii="Tahoma" w:hAnsi="Tahoma"/>
          <w:color w:val="000000"/>
          <w:sz w:val="22"/>
          <w:lang w:val="es-AR"/>
        </w:rPr>
        <w:t>de forma repentina y descontrolada.</w:t>
      </w:r>
    </w:p>
    <w:p w:rsidR="004822A7" w:rsidRPr="00BB7042" w:rsidRDefault="00A309B8" w:rsidP="005C433B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BB7042">
        <w:rPr>
          <w:rFonts w:ascii="Tahoma" w:hAnsi="Tahoma" w:cs="Tahoma"/>
          <w:b/>
          <w:color w:val="315CA3"/>
          <w:szCs w:val="32"/>
          <w:lang w:val="es-AR"/>
        </w:rPr>
        <w:br/>
      </w:r>
      <w:r w:rsidRPr="00BB7042">
        <w:rPr>
          <w:rFonts w:ascii="Tahoma" w:hAnsi="Tahoma"/>
          <w:b/>
          <w:color w:val="315CA3"/>
          <w:lang w:val="es-AR"/>
        </w:rPr>
        <w:t xml:space="preserve">Comunicación de peligros: </w:t>
      </w:r>
    </w:p>
    <w:p w:rsidR="00DA5DB5" w:rsidRPr="00BB7042" w:rsidRDefault="008742C8" w:rsidP="00DA5DB5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 xml:space="preserve">Antes de trabajar con gas comprimido, </w:t>
      </w:r>
      <w:r w:rsidR="00B3760B">
        <w:rPr>
          <w:rFonts w:ascii="Tahoma" w:hAnsi="Tahoma"/>
          <w:color w:val="000000"/>
          <w:sz w:val="22"/>
          <w:lang w:val="es-AR"/>
        </w:rPr>
        <w:t>cerciórese de</w:t>
      </w:r>
      <w:r w:rsidRPr="00BB7042">
        <w:rPr>
          <w:rFonts w:ascii="Tahoma" w:hAnsi="Tahoma"/>
          <w:color w:val="000000"/>
          <w:sz w:val="22"/>
          <w:lang w:val="es-AR"/>
        </w:rPr>
        <w:t xml:space="preserve"> en</w:t>
      </w:r>
      <w:r w:rsidR="00B3760B">
        <w:rPr>
          <w:rFonts w:ascii="Tahoma" w:hAnsi="Tahoma"/>
          <w:color w:val="000000"/>
          <w:sz w:val="22"/>
          <w:lang w:val="es-AR"/>
        </w:rPr>
        <w:t xml:space="preserve">tender </w:t>
      </w:r>
      <w:r w:rsidR="001F4396">
        <w:rPr>
          <w:rFonts w:ascii="Tahoma" w:hAnsi="Tahoma"/>
          <w:color w:val="000000"/>
          <w:sz w:val="22"/>
          <w:lang w:val="es-AR"/>
        </w:rPr>
        <w:t>cabalmente</w:t>
      </w:r>
      <w:r w:rsidRPr="00BB7042">
        <w:rPr>
          <w:rFonts w:ascii="Tahoma" w:hAnsi="Tahoma"/>
          <w:color w:val="000000"/>
          <w:sz w:val="22"/>
          <w:lang w:val="es-AR"/>
        </w:rPr>
        <w:t xml:space="preserve"> los riesgos asociados con el uso de los cilindros de gas y los peligros específicos de su contenido. </w:t>
      </w:r>
    </w:p>
    <w:p w:rsidR="008742C8" w:rsidRPr="00BB7042" w:rsidRDefault="00D516A6" w:rsidP="00DA5DB5">
      <w:pPr>
        <w:pStyle w:val="NormalWeb"/>
        <w:spacing w:before="0" w:beforeAutospacing="0" w:after="360" w:afterAutospacing="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sz w:val="22"/>
          <w:lang w:val="es-AR"/>
        </w:rPr>
        <w:t>L</w:t>
      </w:r>
      <w:r w:rsidR="00682D3A" w:rsidRPr="00BB7042">
        <w:rPr>
          <w:rFonts w:ascii="Tahoma" w:hAnsi="Tahoma"/>
          <w:sz w:val="22"/>
          <w:lang w:val="es-AR"/>
        </w:rPr>
        <w:t>os requ</w:t>
      </w:r>
      <w:r w:rsidR="00745109">
        <w:rPr>
          <w:rFonts w:ascii="Tahoma" w:hAnsi="Tahoma"/>
          <w:sz w:val="22"/>
          <w:lang w:val="es-AR"/>
        </w:rPr>
        <w:t>isitos</w:t>
      </w:r>
      <w:r w:rsidR="00682D3A" w:rsidRPr="00BB7042">
        <w:rPr>
          <w:rFonts w:ascii="Tahoma" w:hAnsi="Tahoma"/>
          <w:sz w:val="22"/>
          <w:lang w:val="es-AR"/>
        </w:rPr>
        <w:t xml:space="preserve"> en cuanto a los peligros, prácticas seguras y equipos de protección personal (PPE</w:t>
      </w:r>
      <w:r w:rsidR="00745109">
        <w:rPr>
          <w:rFonts w:ascii="Tahoma" w:hAnsi="Tahoma"/>
          <w:sz w:val="22"/>
          <w:lang w:val="es-AR"/>
        </w:rPr>
        <w:t>, por sus siglas en inglés</w:t>
      </w:r>
      <w:r w:rsidR="00682D3A" w:rsidRPr="00BB7042">
        <w:rPr>
          <w:rFonts w:ascii="Tahoma" w:hAnsi="Tahoma"/>
          <w:sz w:val="22"/>
          <w:lang w:val="es-AR"/>
        </w:rPr>
        <w:t>)</w:t>
      </w:r>
      <w:r>
        <w:rPr>
          <w:rFonts w:ascii="Tahoma" w:hAnsi="Tahoma"/>
          <w:sz w:val="22"/>
          <w:lang w:val="es-AR"/>
        </w:rPr>
        <w:t xml:space="preserve"> </w:t>
      </w:r>
      <w:r w:rsidRPr="00BB7042">
        <w:rPr>
          <w:rFonts w:ascii="Tahoma" w:hAnsi="Tahoma"/>
          <w:sz w:val="22"/>
          <w:lang w:val="es-AR"/>
        </w:rPr>
        <w:t>deben comunicar</w:t>
      </w:r>
      <w:r>
        <w:rPr>
          <w:rFonts w:ascii="Tahoma" w:hAnsi="Tahoma"/>
          <w:sz w:val="22"/>
          <w:lang w:val="es-AR"/>
        </w:rPr>
        <w:t>se</w:t>
      </w:r>
      <w:r w:rsidRPr="00BB7042">
        <w:rPr>
          <w:rFonts w:ascii="Tahoma" w:hAnsi="Tahoma"/>
          <w:sz w:val="22"/>
          <w:lang w:val="es-AR"/>
        </w:rPr>
        <w:t xml:space="preserve"> eficazmente </w:t>
      </w:r>
      <w:r>
        <w:rPr>
          <w:rFonts w:ascii="Tahoma" w:hAnsi="Tahoma"/>
          <w:sz w:val="22"/>
          <w:lang w:val="es-AR"/>
        </w:rPr>
        <w:t>p</w:t>
      </w:r>
      <w:r w:rsidRPr="00BB7042">
        <w:rPr>
          <w:rFonts w:ascii="Tahoma" w:hAnsi="Tahoma"/>
          <w:sz w:val="22"/>
          <w:lang w:val="es-AR"/>
        </w:rPr>
        <w:t xml:space="preserve">or medio de la capacitación y las </w:t>
      </w:r>
      <w:r>
        <w:rPr>
          <w:rFonts w:ascii="Tahoma" w:hAnsi="Tahoma"/>
          <w:sz w:val="22"/>
          <w:lang w:val="es-AR"/>
        </w:rPr>
        <w:t>hojas informativas</w:t>
      </w:r>
      <w:r w:rsidRPr="00BB7042">
        <w:rPr>
          <w:rFonts w:ascii="Tahoma" w:hAnsi="Tahoma"/>
          <w:sz w:val="22"/>
          <w:lang w:val="es-AR"/>
        </w:rPr>
        <w:t xml:space="preserve"> de seguridad (SDS</w:t>
      </w:r>
      <w:r>
        <w:rPr>
          <w:rFonts w:ascii="Tahoma" w:hAnsi="Tahoma"/>
          <w:sz w:val="22"/>
          <w:lang w:val="es-AR"/>
        </w:rPr>
        <w:t>, por sus siglas en inglés)</w:t>
      </w:r>
      <w:r w:rsidR="00682D3A" w:rsidRPr="00BB7042">
        <w:rPr>
          <w:rFonts w:ascii="Tahoma" w:hAnsi="Tahoma"/>
          <w:sz w:val="22"/>
          <w:lang w:val="es-AR"/>
        </w:rPr>
        <w:t xml:space="preserve">. Las </w:t>
      </w:r>
      <w:r w:rsidR="003F26DA">
        <w:rPr>
          <w:rFonts w:ascii="Tahoma" w:hAnsi="Tahoma"/>
          <w:sz w:val="22"/>
          <w:lang w:val="es-AR"/>
        </w:rPr>
        <w:t>hojas informativas</w:t>
      </w:r>
      <w:r w:rsidR="00682D3A" w:rsidRPr="00BB7042">
        <w:rPr>
          <w:rFonts w:ascii="Tahoma" w:hAnsi="Tahoma"/>
          <w:sz w:val="22"/>
          <w:lang w:val="es-AR"/>
        </w:rPr>
        <w:t xml:space="preserve"> de seguridad deben estar accesibles.</w:t>
      </w:r>
    </w:p>
    <w:p w:rsidR="00CC05F1" w:rsidRPr="00BB7042" w:rsidRDefault="00B76A90" w:rsidP="005C433B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BB7042">
        <w:rPr>
          <w:rFonts w:ascii="Tahoma" w:hAnsi="Tahoma" w:cs="Tahoma"/>
          <w:b/>
          <w:noProof/>
          <w:color w:val="DA5500"/>
          <w:sz w:val="36"/>
          <w:szCs w:val="36"/>
          <w:lang w:val="en-US" w:eastAsia="en-US" w:bidi="ar-SA"/>
        </w:rPr>
        <w:drawing>
          <wp:anchor distT="0" distB="182880" distL="0" distR="114300" simplePos="0" relativeHeight="251659264" behindDoc="0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362585</wp:posOffset>
            </wp:positionV>
            <wp:extent cx="2002155" cy="26879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042">
        <w:rPr>
          <w:rFonts w:ascii="Tahoma" w:hAnsi="Tahoma" w:cs="Tahoma"/>
          <w:b/>
          <w:color w:val="315CA3"/>
          <w:szCs w:val="32"/>
          <w:lang w:val="es-AR"/>
        </w:rPr>
        <w:br/>
      </w:r>
      <w:r w:rsidRPr="00BB7042">
        <w:rPr>
          <w:rFonts w:ascii="Tahoma" w:hAnsi="Tahoma"/>
          <w:b/>
          <w:color w:val="315CA3"/>
          <w:lang w:val="es-AR"/>
        </w:rPr>
        <w:t>Identificación de los cilindros:</w:t>
      </w:r>
    </w:p>
    <w:p w:rsidR="00DC7660" w:rsidRPr="00BB7042" w:rsidRDefault="00682D3A" w:rsidP="002658AC">
      <w:pPr>
        <w:pStyle w:val="ColorfulList-Accent11"/>
        <w:numPr>
          <w:ilvl w:val="0"/>
          <w:numId w:val="28"/>
        </w:numPr>
        <w:spacing w:after="220" w:line="240" w:lineRule="auto"/>
        <w:ind w:left="450" w:hanging="446"/>
        <w:contextualSpacing w:val="0"/>
        <w:rPr>
          <w:rFonts w:ascii="Tahoma" w:hAnsi="Tahoma" w:cs="Tahoma"/>
          <w:lang w:val="es-AR"/>
        </w:rPr>
      </w:pPr>
      <w:r w:rsidRPr="00BB7042">
        <w:rPr>
          <w:rFonts w:ascii="Tahoma" w:hAnsi="Tahoma"/>
          <w:lang w:val="es-AR"/>
        </w:rPr>
        <w:t xml:space="preserve">Use </w:t>
      </w:r>
      <w:r w:rsidRPr="00BB7042">
        <w:rPr>
          <w:rFonts w:ascii="Tahoma" w:hAnsi="Tahoma"/>
          <w:b/>
          <w:lang w:val="es-AR"/>
        </w:rPr>
        <w:t>etiquetas de</w:t>
      </w:r>
      <w:r w:rsidR="00C06F0B">
        <w:rPr>
          <w:rFonts w:ascii="Tahoma" w:hAnsi="Tahoma"/>
          <w:b/>
          <w:lang w:val="es-AR"/>
        </w:rPr>
        <w:t>l</w:t>
      </w:r>
      <w:r w:rsidRPr="00BB7042">
        <w:rPr>
          <w:rFonts w:ascii="Tahoma" w:hAnsi="Tahoma"/>
          <w:b/>
          <w:lang w:val="es-AR"/>
        </w:rPr>
        <w:t xml:space="preserve"> estado</w:t>
      </w:r>
      <w:r w:rsidR="00C06F0B">
        <w:rPr>
          <w:rFonts w:ascii="Tahoma" w:hAnsi="Tahoma"/>
          <w:b/>
          <w:lang w:val="es-AR"/>
        </w:rPr>
        <w:t xml:space="preserve"> del contenido</w:t>
      </w:r>
      <w:r w:rsidR="00A6441A">
        <w:rPr>
          <w:rFonts w:ascii="Tahoma" w:hAnsi="Tahoma"/>
          <w:b/>
          <w:lang w:val="es-AR"/>
        </w:rPr>
        <w:t xml:space="preserve"> </w:t>
      </w:r>
      <w:r w:rsidRPr="00BB7042">
        <w:rPr>
          <w:rFonts w:ascii="Tahoma" w:hAnsi="Tahoma"/>
          <w:lang w:val="es-AR"/>
        </w:rPr>
        <w:t>para identificar si el cilindro está lleno, en uso o vacío.</w:t>
      </w:r>
    </w:p>
    <w:p w:rsidR="00682D3A" w:rsidRPr="00BB7042" w:rsidRDefault="00535A33" w:rsidP="002658AC">
      <w:pPr>
        <w:pStyle w:val="ColorfulList-Accent11"/>
        <w:numPr>
          <w:ilvl w:val="0"/>
          <w:numId w:val="28"/>
        </w:numPr>
        <w:spacing w:after="220" w:line="240" w:lineRule="auto"/>
        <w:ind w:left="450" w:hanging="446"/>
        <w:contextualSpacing w:val="0"/>
        <w:rPr>
          <w:rFonts w:ascii="Tahoma" w:hAnsi="Tahoma" w:cs="Tahoma"/>
          <w:lang w:val="es-AR"/>
        </w:rPr>
      </w:pPr>
      <w:r w:rsidRPr="00BB7042">
        <w:rPr>
          <w:rFonts w:ascii="Tahoma" w:hAnsi="Tahoma"/>
          <w:lang w:val="es-AR"/>
        </w:rPr>
        <w:t xml:space="preserve">Marque los cilindros con </w:t>
      </w:r>
      <w:r w:rsidRPr="00BB7042">
        <w:rPr>
          <w:rFonts w:ascii="Tahoma" w:hAnsi="Tahoma"/>
          <w:b/>
          <w:lang w:val="es-AR"/>
        </w:rPr>
        <w:t>etiquetas</w:t>
      </w:r>
      <w:r w:rsidRPr="00BB7042">
        <w:rPr>
          <w:rFonts w:ascii="Tahoma" w:hAnsi="Tahoma"/>
          <w:lang w:val="es-AR"/>
        </w:rPr>
        <w:t xml:space="preserve"> apropiadas que </w:t>
      </w:r>
      <w:r w:rsidRPr="00BB7042">
        <w:rPr>
          <w:rFonts w:ascii="Tahoma" w:hAnsi="Tahoma"/>
          <w:b/>
          <w:lang w:val="es-AR"/>
        </w:rPr>
        <w:t xml:space="preserve">cumplan con </w:t>
      </w:r>
      <w:r w:rsidR="00A6441A">
        <w:rPr>
          <w:rFonts w:ascii="Tahoma" w:hAnsi="Tahoma"/>
          <w:b/>
          <w:lang w:val="es-AR"/>
        </w:rPr>
        <w:t>e</w:t>
      </w:r>
      <w:r w:rsidR="00A6441A" w:rsidRPr="00A6441A">
        <w:rPr>
          <w:rFonts w:ascii="Tahoma" w:hAnsi="Tahoma"/>
          <w:b/>
          <w:lang w:val="es-AR"/>
        </w:rPr>
        <w:t xml:space="preserve">l </w:t>
      </w:r>
      <w:r w:rsidR="00A6441A" w:rsidRPr="00A6441A">
        <w:rPr>
          <w:rFonts w:ascii="Tahoma" w:hAnsi="Tahoma" w:cs="Tahoma"/>
          <w:b/>
          <w:color w:val="000000"/>
          <w:kern w:val="24"/>
          <w:lang w:val="es-AR"/>
        </w:rPr>
        <w:t>Sistema globalmente armonizado de clasificación y etiquetado de productos químicos (GHS, por sus siglas en inglés)</w:t>
      </w:r>
      <w:r w:rsidRPr="00BB7042">
        <w:rPr>
          <w:rFonts w:ascii="Tahoma" w:hAnsi="Tahoma"/>
          <w:lang w:val="es-AR"/>
        </w:rPr>
        <w:t xml:space="preserve"> para identificar su contenido y la clasificación de peligro. </w:t>
      </w:r>
    </w:p>
    <w:p w:rsidR="00682D3A" w:rsidRPr="00BB7042" w:rsidRDefault="002E0298" w:rsidP="002658AC">
      <w:pPr>
        <w:pStyle w:val="ColorfulList-Accent11"/>
        <w:numPr>
          <w:ilvl w:val="0"/>
          <w:numId w:val="28"/>
        </w:numPr>
        <w:spacing w:after="360" w:line="240" w:lineRule="auto"/>
        <w:ind w:left="450" w:hanging="446"/>
        <w:contextualSpacing w:val="0"/>
        <w:rPr>
          <w:rFonts w:ascii="Tahoma" w:hAnsi="Tahoma" w:cs="Tahoma"/>
          <w:lang w:val="es-AR"/>
        </w:rPr>
      </w:pPr>
      <w:r w:rsidRPr="00BB7042">
        <w:rPr>
          <w:rFonts w:ascii="Tahoma" w:hAnsi="Tahoma"/>
          <w:lang w:val="es-AR"/>
        </w:rPr>
        <w:t xml:space="preserve">Esté alerta y siempre siga las </w:t>
      </w:r>
      <w:r w:rsidRPr="00BB7042">
        <w:rPr>
          <w:rFonts w:ascii="Tahoma" w:hAnsi="Tahoma"/>
          <w:b/>
          <w:lang w:val="es-AR"/>
        </w:rPr>
        <w:t xml:space="preserve">señalizaciones </w:t>
      </w:r>
      <w:r w:rsidRPr="00BB7042">
        <w:rPr>
          <w:rFonts w:ascii="Tahoma" w:hAnsi="Tahoma"/>
          <w:lang w:val="es-AR"/>
        </w:rPr>
        <w:t>en las áreas de almacenamiento.</w:t>
      </w:r>
    </w:p>
    <w:p w:rsidR="00841EAC" w:rsidRPr="00BB7042" w:rsidRDefault="00A309B8" w:rsidP="005C433B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BB7042">
        <w:rPr>
          <w:rFonts w:ascii="Tahoma" w:hAnsi="Tahoma" w:cs="Tahoma"/>
          <w:b/>
          <w:color w:val="315CA3"/>
          <w:szCs w:val="32"/>
          <w:lang w:val="es-AR"/>
        </w:rPr>
        <w:br/>
      </w:r>
      <w:r w:rsidRPr="00BB7042">
        <w:rPr>
          <w:rFonts w:ascii="Tahoma" w:hAnsi="Tahoma"/>
          <w:b/>
          <w:color w:val="315CA3"/>
          <w:lang w:val="es-AR"/>
        </w:rPr>
        <w:t>Traslado de los cilindros:</w:t>
      </w:r>
    </w:p>
    <w:p w:rsidR="00841EAC" w:rsidRPr="00BB7042" w:rsidRDefault="00EC097C" w:rsidP="005C433B">
      <w:pPr>
        <w:tabs>
          <w:tab w:val="left" w:pos="450"/>
        </w:tabs>
        <w:spacing w:after="160"/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b/>
          <w:color w:val="000000"/>
          <w:sz w:val="22"/>
          <w:lang w:val="es-AR"/>
        </w:rPr>
        <w:t>Antes de trasladar los cilindros:</w:t>
      </w:r>
    </w:p>
    <w:p w:rsidR="006A5FAA" w:rsidRPr="00BB7042" w:rsidRDefault="00EC097C" w:rsidP="002658AC">
      <w:pPr>
        <w:numPr>
          <w:ilvl w:val="0"/>
          <w:numId w:val="39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Obtenga autorización.</w:t>
      </w:r>
    </w:p>
    <w:p w:rsidR="006A5FAA" w:rsidRPr="00BB7042" w:rsidRDefault="00EC097C" w:rsidP="002658AC">
      <w:pPr>
        <w:numPr>
          <w:ilvl w:val="0"/>
          <w:numId w:val="39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 xml:space="preserve">Verifique el contenido de los cilindros y lea </w:t>
      </w:r>
      <w:r w:rsidR="00A6441A">
        <w:rPr>
          <w:rFonts w:ascii="Tahoma" w:hAnsi="Tahoma"/>
          <w:color w:val="000000"/>
          <w:sz w:val="22"/>
          <w:lang w:val="es-AR"/>
        </w:rPr>
        <w:t xml:space="preserve">las </w:t>
      </w:r>
      <w:r w:rsidR="005544E8">
        <w:rPr>
          <w:rFonts w:ascii="Tahoma" w:hAnsi="Tahoma"/>
          <w:color w:val="000000"/>
          <w:sz w:val="22"/>
          <w:lang w:val="es-AR"/>
        </w:rPr>
        <w:t>hojas informativas</w:t>
      </w:r>
      <w:r w:rsidRPr="00BB7042">
        <w:rPr>
          <w:rFonts w:ascii="Tahoma" w:hAnsi="Tahoma"/>
          <w:color w:val="000000"/>
          <w:sz w:val="22"/>
          <w:lang w:val="es-AR"/>
        </w:rPr>
        <w:t xml:space="preserve"> de seguridad </w:t>
      </w:r>
      <w:r w:rsidR="00A6441A">
        <w:rPr>
          <w:rFonts w:ascii="Tahoma" w:hAnsi="Tahoma"/>
          <w:color w:val="000000"/>
          <w:sz w:val="22"/>
          <w:lang w:val="es-AR"/>
        </w:rPr>
        <w:t xml:space="preserve">(SDS) </w:t>
      </w:r>
      <w:r w:rsidRPr="00BB7042">
        <w:rPr>
          <w:rFonts w:ascii="Tahoma" w:hAnsi="Tahoma"/>
          <w:color w:val="000000"/>
          <w:sz w:val="22"/>
          <w:lang w:val="es-AR"/>
        </w:rPr>
        <w:t>sobre los requ</w:t>
      </w:r>
      <w:r w:rsidR="00EC78EE">
        <w:rPr>
          <w:rFonts w:ascii="Tahoma" w:hAnsi="Tahoma"/>
          <w:color w:val="000000"/>
          <w:sz w:val="22"/>
          <w:lang w:val="es-AR"/>
        </w:rPr>
        <w:t xml:space="preserve">isitos </w:t>
      </w:r>
      <w:r w:rsidRPr="00BB7042">
        <w:rPr>
          <w:rFonts w:ascii="Tahoma" w:hAnsi="Tahoma"/>
          <w:color w:val="000000"/>
          <w:sz w:val="22"/>
          <w:lang w:val="es-AR"/>
        </w:rPr>
        <w:t>de manipulación.</w:t>
      </w:r>
    </w:p>
    <w:p w:rsidR="006A5FAA" w:rsidRPr="00BB7042" w:rsidRDefault="00EC097C" w:rsidP="002658AC">
      <w:pPr>
        <w:numPr>
          <w:ilvl w:val="0"/>
          <w:numId w:val="39"/>
        </w:numPr>
        <w:spacing w:after="22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lastRenderedPageBreak/>
        <w:t>Cierre las válvulas, purgue las líneas, quite los reguladores y coloque las tapas de seguridad en la válvula.</w:t>
      </w:r>
    </w:p>
    <w:p w:rsidR="006A5FAA" w:rsidRPr="00BB7042" w:rsidRDefault="00EC097C" w:rsidP="002658AC">
      <w:pPr>
        <w:numPr>
          <w:ilvl w:val="0"/>
          <w:numId w:val="39"/>
        </w:numPr>
        <w:spacing w:after="360"/>
        <w:ind w:left="446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Cerciórese de que no haya obstáculos en la ruta que planea hacer.</w:t>
      </w:r>
    </w:p>
    <w:p w:rsidR="00EC097C" w:rsidRPr="00BB7042" w:rsidRDefault="00B76A90" w:rsidP="005C433B">
      <w:pPr>
        <w:tabs>
          <w:tab w:val="left" w:pos="450"/>
        </w:tabs>
        <w:spacing w:after="160"/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BB7042">
        <w:rPr>
          <w:rFonts w:ascii="Tahoma" w:hAnsi="Tahoma" w:cs="Tahoma"/>
          <w:noProof/>
          <w:color w:val="000000"/>
          <w:sz w:val="22"/>
          <w:szCs w:val="22"/>
          <w:lang w:val="en-US" w:eastAsia="en-US" w:bidi="ar-SA"/>
        </w:rPr>
        <w:drawing>
          <wp:anchor distT="0" distB="182880" distL="274320" distR="114300" simplePos="0" relativeHeight="251658240" behindDoc="0" locked="0" layoutInCell="1" allowOverlap="1">
            <wp:simplePos x="0" y="0"/>
            <wp:positionH relativeFrom="margin">
              <wp:posOffset>3714750</wp:posOffset>
            </wp:positionH>
            <wp:positionV relativeFrom="paragraph">
              <wp:posOffset>6985</wp:posOffset>
            </wp:positionV>
            <wp:extent cx="2340610" cy="19659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2" r="6450"/>
                    <a:stretch/>
                  </pic:blipFill>
                  <pic:spPr bwMode="auto">
                    <a:xfrm>
                      <a:off x="0" y="0"/>
                      <a:ext cx="234061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7042">
        <w:rPr>
          <w:rFonts w:ascii="Tahoma" w:hAnsi="Tahoma"/>
          <w:b/>
          <w:color w:val="000000"/>
          <w:sz w:val="22"/>
          <w:lang w:val="es-AR"/>
        </w:rPr>
        <w:t>Al trasladar los cilindros:</w:t>
      </w:r>
    </w:p>
    <w:p w:rsidR="006A5FAA" w:rsidRPr="00BB7042" w:rsidRDefault="00EC097C" w:rsidP="005C433B">
      <w:pPr>
        <w:numPr>
          <w:ilvl w:val="0"/>
          <w:numId w:val="41"/>
        </w:numPr>
        <w:tabs>
          <w:tab w:val="clear" w:pos="364"/>
        </w:tabs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 xml:space="preserve">Use un carro diseñado para tal fin. </w:t>
      </w:r>
    </w:p>
    <w:p w:rsidR="006A5FAA" w:rsidRPr="00BB7042" w:rsidRDefault="00EC097C" w:rsidP="005C433B">
      <w:pPr>
        <w:numPr>
          <w:ilvl w:val="0"/>
          <w:numId w:val="41"/>
        </w:numPr>
        <w:tabs>
          <w:tab w:val="clear" w:pos="364"/>
        </w:tabs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Use una cadena para asegurarlos al carro.</w:t>
      </w:r>
    </w:p>
    <w:p w:rsidR="006A5FAA" w:rsidRPr="00BB7042" w:rsidRDefault="00EC097C" w:rsidP="005C433B">
      <w:pPr>
        <w:numPr>
          <w:ilvl w:val="0"/>
          <w:numId w:val="41"/>
        </w:numPr>
        <w:tabs>
          <w:tab w:val="clear" w:pos="364"/>
        </w:tabs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Permanezca en los lugares designados.</w:t>
      </w:r>
    </w:p>
    <w:p w:rsidR="00841EAC" w:rsidRPr="00BB7042" w:rsidRDefault="00EC097C" w:rsidP="005C433B">
      <w:pPr>
        <w:numPr>
          <w:ilvl w:val="0"/>
          <w:numId w:val="41"/>
        </w:numPr>
        <w:tabs>
          <w:tab w:val="clear" w:pos="364"/>
        </w:tabs>
        <w:spacing w:after="26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Nunca recueste los cilindros sobre sus lados ni los haga rodar con la mano.</w:t>
      </w:r>
    </w:p>
    <w:p w:rsidR="0030668A" w:rsidRPr="00BB7042" w:rsidRDefault="0030668A" w:rsidP="005C433B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</w:p>
    <w:p w:rsidR="00EC097C" w:rsidRPr="00BB7042" w:rsidRDefault="00EC097C" w:rsidP="005C433B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BB7042">
        <w:rPr>
          <w:rFonts w:ascii="Tahoma" w:hAnsi="Tahoma"/>
          <w:b/>
          <w:color w:val="315CA3"/>
          <w:lang w:val="es-AR"/>
        </w:rPr>
        <w:t>Almacenamiento:</w:t>
      </w:r>
    </w:p>
    <w:p w:rsidR="008451F9" w:rsidRPr="00BB7042" w:rsidRDefault="008451F9" w:rsidP="007925C4">
      <w:pPr>
        <w:tabs>
          <w:tab w:val="left" w:pos="450"/>
        </w:tabs>
        <w:spacing w:after="220"/>
        <w:ind w:left="4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Almacene siempre los cilindros según las hojas informativas de seguridad y las normas locales, estatales y federales.</w:t>
      </w:r>
    </w:p>
    <w:p w:rsidR="00EC097C" w:rsidRPr="00BB7042" w:rsidRDefault="00EC097C" w:rsidP="007925C4">
      <w:pPr>
        <w:numPr>
          <w:ilvl w:val="0"/>
          <w:numId w:val="42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Mantenga las áreas de almacenamiento frescas y secas, bien ventiladas, libres de materiales combustibles y protegidas de peligros reconocidos.</w:t>
      </w:r>
    </w:p>
    <w:p w:rsidR="00EC097C" w:rsidRPr="00BB7042" w:rsidRDefault="00570D16" w:rsidP="007925C4">
      <w:pPr>
        <w:numPr>
          <w:ilvl w:val="0"/>
          <w:numId w:val="42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Limite el ingreso a las áreas de almacenamiento sólo al personal autorizado y capacitado.</w:t>
      </w:r>
    </w:p>
    <w:p w:rsidR="00570D16" w:rsidRPr="00BB7042" w:rsidRDefault="00570D16" w:rsidP="007925C4">
      <w:pPr>
        <w:numPr>
          <w:ilvl w:val="0"/>
          <w:numId w:val="42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Mantenga los cilindros parados.</w:t>
      </w:r>
    </w:p>
    <w:p w:rsidR="00570D16" w:rsidRPr="00BB7042" w:rsidRDefault="00570D16" w:rsidP="007925C4">
      <w:pPr>
        <w:numPr>
          <w:ilvl w:val="0"/>
          <w:numId w:val="42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Quite los reguladores, purgue las líneas y coloque las tapas de seguridad en la válvula.</w:t>
      </w:r>
    </w:p>
    <w:p w:rsidR="00570D16" w:rsidRPr="00BB7042" w:rsidRDefault="00570D16" w:rsidP="007925C4">
      <w:pPr>
        <w:numPr>
          <w:ilvl w:val="0"/>
          <w:numId w:val="42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 xml:space="preserve">Mantenga todos los cilindros a 20 pies de escaleras, </w:t>
      </w:r>
      <w:r w:rsidR="0066561F">
        <w:rPr>
          <w:rFonts w:ascii="Tahoma" w:hAnsi="Tahoma"/>
          <w:color w:val="000000"/>
          <w:sz w:val="22"/>
          <w:lang w:val="es-AR"/>
        </w:rPr>
        <w:t>ascensores/</w:t>
      </w:r>
      <w:r w:rsidRPr="00BB7042">
        <w:rPr>
          <w:rFonts w:ascii="Tahoma" w:hAnsi="Tahoma"/>
          <w:color w:val="000000"/>
          <w:sz w:val="22"/>
          <w:lang w:val="es-AR"/>
        </w:rPr>
        <w:t>elevadores, pasillos y materiales combustibles.</w:t>
      </w:r>
    </w:p>
    <w:p w:rsidR="00570D16" w:rsidRPr="00BB7042" w:rsidRDefault="00570D16" w:rsidP="007925C4">
      <w:pPr>
        <w:numPr>
          <w:ilvl w:val="0"/>
          <w:numId w:val="42"/>
        </w:numPr>
        <w:spacing w:after="40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 xml:space="preserve">No almacene los cilindros junto con elementos incompatibles (es decir, mantenga los cilindros de oxígeno separados de los cilindros de gas combustible) y tome las medidas pertinentes </w:t>
      </w:r>
      <w:r w:rsidR="0066561F">
        <w:rPr>
          <w:rFonts w:ascii="Tahoma" w:hAnsi="Tahoma"/>
          <w:color w:val="000000"/>
          <w:sz w:val="22"/>
          <w:lang w:val="es-AR"/>
        </w:rPr>
        <w:t xml:space="preserve">necesarias </w:t>
      </w:r>
      <w:r w:rsidRPr="00BB7042">
        <w:rPr>
          <w:rFonts w:ascii="Tahoma" w:hAnsi="Tahoma"/>
          <w:color w:val="000000"/>
          <w:sz w:val="22"/>
          <w:lang w:val="es-AR"/>
        </w:rPr>
        <w:t xml:space="preserve">para garantizar que todos los materiales </w:t>
      </w:r>
      <w:r w:rsidR="0066561F">
        <w:rPr>
          <w:rFonts w:ascii="Tahoma" w:hAnsi="Tahoma"/>
          <w:color w:val="000000"/>
          <w:sz w:val="22"/>
          <w:lang w:val="es-AR"/>
        </w:rPr>
        <w:t xml:space="preserve">estén debidamente almacenados </w:t>
      </w:r>
      <w:r w:rsidR="0082065D">
        <w:rPr>
          <w:rFonts w:ascii="Tahoma" w:hAnsi="Tahoma"/>
          <w:color w:val="000000"/>
          <w:sz w:val="22"/>
          <w:lang w:val="es-AR"/>
        </w:rPr>
        <w:t>y apartados.</w:t>
      </w:r>
    </w:p>
    <w:p w:rsidR="00DF30B3" w:rsidRDefault="0072486B" w:rsidP="00DF30B3">
      <w:pPr>
        <w:pStyle w:val="NormalWeb"/>
        <w:spacing w:before="0" w:beforeAutospacing="0" w:after="260" w:afterAutospacing="0"/>
        <w:rPr>
          <w:rFonts w:ascii="Tahoma" w:hAnsi="Tahoma"/>
          <w:b/>
          <w:color w:val="315CA3"/>
          <w:lang w:val="es-AR"/>
        </w:rPr>
      </w:pPr>
      <w:r w:rsidRPr="00BB7042">
        <w:rPr>
          <w:rFonts w:ascii="Tahoma" w:hAnsi="Tahoma" w:cs="Tahoma"/>
          <w:b/>
          <w:color w:val="315CA3"/>
          <w:szCs w:val="32"/>
          <w:lang w:val="es-AR"/>
        </w:rPr>
        <w:br/>
      </w:r>
      <w:r w:rsidRPr="00BB7042">
        <w:rPr>
          <w:rFonts w:ascii="Tahoma" w:hAnsi="Tahoma"/>
          <w:b/>
          <w:color w:val="315CA3"/>
          <w:lang w:val="es-AR"/>
        </w:rPr>
        <w:t>Evite las siguiente</w:t>
      </w:r>
      <w:r w:rsidR="00E93C23">
        <w:rPr>
          <w:rFonts w:ascii="Tahoma" w:hAnsi="Tahoma"/>
          <w:b/>
          <w:color w:val="315CA3"/>
          <w:lang w:val="es-AR"/>
        </w:rPr>
        <w:t xml:space="preserve">s prácticas de almacenamiento y </w:t>
      </w:r>
      <w:r w:rsidRPr="00BB7042">
        <w:rPr>
          <w:rFonts w:ascii="Tahoma" w:hAnsi="Tahoma"/>
          <w:b/>
          <w:color w:val="315CA3"/>
          <w:lang w:val="es-AR"/>
        </w:rPr>
        <w:t>manipulación:</w:t>
      </w:r>
    </w:p>
    <w:p w:rsidR="005E0069" w:rsidRPr="00DF30B3" w:rsidRDefault="005E0069" w:rsidP="00DF30B3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Cs w:val="32"/>
          <w:lang w:val="es-AR"/>
        </w:rPr>
      </w:pPr>
      <w:r w:rsidRPr="00BB7042">
        <w:rPr>
          <w:rFonts w:ascii="Tahoma" w:hAnsi="Tahoma"/>
          <w:b/>
          <w:color w:val="000000"/>
          <w:sz w:val="22"/>
          <w:lang w:val="es-AR"/>
        </w:rPr>
        <w:lastRenderedPageBreak/>
        <w:t>Nunca:</w:t>
      </w:r>
    </w:p>
    <w:p w:rsidR="005E0069" w:rsidRPr="00BB7042" w:rsidRDefault="005E0069" w:rsidP="00776CE6">
      <w:pPr>
        <w:numPr>
          <w:ilvl w:val="0"/>
          <w:numId w:val="43"/>
        </w:numPr>
        <w:spacing w:after="22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Use los cilindros para otros fines a los que están destinados.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Traslade ni almacene los cilindros de gas en espacios confinados.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Coloque los cilindros cerca de fuentes de ignición o entre fuentes eléctricas.</w:t>
      </w:r>
    </w:p>
    <w:p w:rsidR="0072486B" w:rsidRPr="00BB7042" w:rsidRDefault="0072486B" w:rsidP="0072486B">
      <w:pPr>
        <w:tabs>
          <w:tab w:val="left" w:pos="450"/>
        </w:tabs>
        <w:spacing w:after="160"/>
        <w:ind w:left="4"/>
        <w:rPr>
          <w:rFonts w:ascii="Tahoma" w:hAnsi="Tahoma" w:cs="Tahoma"/>
          <w:b/>
          <w:color w:val="000000"/>
          <w:sz w:val="22"/>
          <w:szCs w:val="22"/>
          <w:lang w:val="es-AR"/>
        </w:rPr>
      </w:pPr>
    </w:p>
    <w:p w:rsidR="0072486B" w:rsidRPr="00BB7042" w:rsidRDefault="0072486B" w:rsidP="0072486B">
      <w:pPr>
        <w:tabs>
          <w:tab w:val="left" w:pos="450"/>
        </w:tabs>
        <w:spacing w:after="160"/>
        <w:ind w:left="4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b/>
          <w:color w:val="000000"/>
          <w:sz w:val="22"/>
          <w:lang w:val="es-AR"/>
        </w:rPr>
        <w:t>Nunca: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Eleve los cilindros de manera inadecuada (como con imanes).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Use martillos o llaves para abrir los cilindros con cabezales fijos.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Rellene los cilindros.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Mezcle gases en un cilindro.</w:t>
      </w:r>
    </w:p>
    <w:p w:rsidR="005E0069" w:rsidRPr="00BB7042" w:rsidRDefault="005E0069" w:rsidP="00A93928">
      <w:pPr>
        <w:numPr>
          <w:ilvl w:val="0"/>
          <w:numId w:val="43"/>
        </w:numPr>
        <w:spacing w:after="220"/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Use acetileno con una presión mayor de 15 psi o una presión absoluta de 20 psi</w:t>
      </w:r>
      <w:r w:rsidR="00E93C23">
        <w:rPr>
          <w:rFonts w:ascii="Tahoma" w:hAnsi="Tahoma"/>
          <w:color w:val="000000"/>
          <w:sz w:val="22"/>
          <w:lang w:val="es-AR"/>
        </w:rPr>
        <w:t>.</w:t>
      </w:r>
    </w:p>
    <w:p w:rsidR="005E0069" w:rsidRPr="00BB7042" w:rsidRDefault="005E0069" w:rsidP="00A93928">
      <w:pPr>
        <w:numPr>
          <w:ilvl w:val="0"/>
          <w:numId w:val="43"/>
        </w:numPr>
        <w:ind w:left="450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BB7042">
        <w:rPr>
          <w:rFonts w:ascii="Tahoma" w:hAnsi="Tahoma"/>
          <w:color w:val="000000"/>
          <w:sz w:val="22"/>
          <w:lang w:val="es-AR"/>
        </w:rPr>
        <w:t>Nunca golpee un electrodo contra un cilindro al soldar por arco.</w:t>
      </w:r>
    </w:p>
    <w:p w:rsidR="005E0069" w:rsidRPr="00BB7042" w:rsidRDefault="005E0069" w:rsidP="005C433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E0069" w:rsidRPr="00BB7042" w:rsidRDefault="005E0069" w:rsidP="005C433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E0069" w:rsidRPr="00BB7042" w:rsidRDefault="005E0069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72486B" w:rsidRPr="00BB7042" w:rsidRDefault="0072486B" w:rsidP="001342D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E93C23" w:rsidRDefault="00E93C23" w:rsidP="005649AB">
      <w:pPr>
        <w:rPr>
          <w:rFonts w:ascii="Tahoma" w:hAnsi="Tahoma" w:cs="Tahoma"/>
          <w:color w:val="A5A5A5" w:themeColor="accent3"/>
          <w:sz w:val="22"/>
          <w:szCs w:val="22"/>
          <w:lang w:val="es-AR" w:eastAsia="en-US" w:bidi="ar-SA"/>
        </w:rPr>
      </w:pPr>
    </w:p>
    <w:p w:rsidR="00DF30B3" w:rsidRDefault="00DF30B3" w:rsidP="00DF30B3">
      <w:pPr>
        <w:jc w:val="both"/>
        <w:rPr>
          <w:rFonts w:ascii="Tahoma" w:hAnsi="Tahoma" w:cs="Tahoma"/>
          <w:sz w:val="22"/>
          <w:szCs w:val="22"/>
        </w:rPr>
      </w:pPr>
    </w:p>
    <w:p w:rsidR="0012222F" w:rsidRDefault="0012222F" w:rsidP="0012222F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2222F" w:rsidRDefault="0012222F" w:rsidP="0012222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2222F" w:rsidRDefault="0012222F" w:rsidP="0012222F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12222F" w:rsidSect="003242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F4" w:rsidRDefault="00C003F4">
      <w:r>
        <w:separator/>
      </w:r>
    </w:p>
  </w:endnote>
  <w:endnote w:type="continuationSeparator" w:id="0">
    <w:p w:rsidR="00C003F4" w:rsidRDefault="00C0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15172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776CE6" w:rsidRPr="00776CE6" w:rsidRDefault="001178A4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776CE6">
          <w:rPr>
            <w:rFonts w:ascii="Tahoma" w:hAnsi="Tahoma" w:cs="Tahoma"/>
            <w:sz w:val="22"/>
            <w:szCs w:val="22"/>
          </w:rPr>
          <w:fldChar w:fldCharType="begin"/>
        </w:r>
        <w:r w:rsidR="00776CE6" w:rsidRPr="00776CE6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776CE6">
          <w:rPr>
            <w:rFonts w:ascii="Tahoma" w:hAnsi="Tahoma" w:cs="Tahoma"/>
            <w:sz w:val="22"/>
            <w:szCs w:val="22"/>
          </w:rPr>
          <w:fldChar w:fldCharType="separate"/>
        </w:r>
        <w:r w:rsidR="00B4502F">
          <w:rPr>
            <w:rFonts w:ascii="Tahoma" w:hAnsi="Tahoma" w:cs="Tahoma"/>
            <w:noProof/>
            <w:sz w:val="22"/>
            <w:szCs w:val="22"/>
          </w:rPr>
          <w:t>4</w:t>
        </w:r>
        <w:r w:rsidRPr="00776CE6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FF6E4F" w:rsidRDefault="00FF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F4" w:rsidRDefault="00C003F4">
      <w:r>
        <w:separator/>
      </w:r>
    </w:p>
  </w:footnote>
  <w:footnote w:type="continuationSeparator" w:id="0">
    <w:p w:rsidR="00C003F4" w:rsidRDefault="00C0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450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CA" w:rsidRDefault="003242CA" w:rsidP="003242CA">
    <w:pPr>
      <w:pStyle w:val="NormalWeb"/>
      <w:spacing w:before="0" w:beforeAutospacing="0" w:after="0" w:afterAutospacing="0"/>
      <w:ind w:right="720"/>
      <w:rPr>
        <w:rFonts w:ascii="Tahoma" w:hAnsi="Tahoma" w:cs="Tahoma"/>
        <w:color w:val="DA5500"/>
        <w:sz w:val="28"/>
        <w:szCs w:val="28"/>
      </w:rPr>
    </w:pPr>
  </w:p>
  <w:tbl>
    <w:tblPr>
      <w:tblStyle w:val="TableGrid"/>
      <w:tblW w:w="10980" w:type="dxa"/>
      <w:tblInd w:w="-810" w:type="dxa"/>
      <w:tblLook w:val="04A0" w:firstRow="1" w:lastRow="0" w:firstColumn="1" w:lastColumn="0" w:noHBand="0" w:noVBand="1"/>
    </w:tblPr>
    <w:tblGrid>
      <w:gridCol w:w="7042"/>
      <w:gridCol w:w="3938"/>
    </w:tblGrid>
    <w:tr w:rsidR="003242CA" w:rsidTr="00E8747E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242CA" w:rsidRPr="00EB21F7" w:rsidRDefault="003242CA" w:rsidP="003242C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Soldadura y trabajo en caliente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242CA" w:rsidRPr="00EB21F7" w:rsidRDefault="003242CA" w:rsidP="003242C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3242CA" w:rsidTr="00E8747E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242CA" w:rsidRPr="004E69BA" w:rsidRDefault="003242CA" w:rsidP="003242CA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Cilindros de gas comprimido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br/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br/>
          </w: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242CA" w:rsidRDefault="003242CA" w:rsidP="003242C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Default="00FF6E4F" w:rsidP="00F52C82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450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2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8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6D7"/>
    <w:multiLevelType w:val="hybridMultilevel"/>
    <w:tmpl w:val="0CD4938E"/>
    <w:lvl w:ilvl="0" w:tplc="2CB0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7C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2F0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A2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54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F00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E9E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0C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7EA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345B3"/>
    <w:multiLevelType w:val="hybridMultilevel"/>
    <w:tmpl w:val="4DF2B8A2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6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25A80"/>
    <w:multiLevelType w:val="hybridMultilevel"/>
    <w:tmpl w:val="583088D6"/>
    <w:lvl w:ilvl="0" w:tplc="DF066768">
      <w:start w:val="1"/>
      <w:numFmt w:val="bullet"/>
      <w:lvlText w:val="•"/>
      <w:lvlJc w:val="left"/>
      <w:pPr>
        <w:tabs>
          <w:tab w:val="num" w:pos="364"/>
        </w:tabs>
        <w:ind w:left="364" w:hanging="360"/>
      </w:pPr>
      <w:rPr>
        <w:rFonts w:ascii="Tahoma" w:hAnsi="Tahoma" w:hint="default"/>
      </w:rPr>
    </w:lvl>
    <w:lvl w:ilvl="1" w:tplc="9CE2F45A" w:tentative="1">
      <w:start w:val="1"/>
      <w:numFmt w:val="bullet"/>
      <w:lvlText w:val="•"/>
      <w:lvlJc w:val="left"/>
      <w:pPr>
        <w:tabs>
          <w:tab w:val="num" w:pos="1084"/>
        </w:tabs>
        <w:ind w:left="1084" w:hanging="360"/>
      </w:pPr>
      <w:rPr>
        <w:rFonts w:ascii="Tahoma" w:hAnsi="Tahoma" w:hint="default"/>
      </w:rPr>
    </w:lvl>
    <w:lvl w:ilvl="2" w:tplc="AAC869F4" w:tentative="1">
      <w:start w:val="1"/>
      <w:numFmt w:val="bullet"/>
      <w:lvlText w:val="•"/>
      <w:lvlJc w:val="left"/>
      <w:pPr>
        <w:tabs>
          <w:tab w:val="num" w:pos="1804"/>
        </w:tabs>
        <w:ind w:left="1804" w:hanging="360"/>
      </w:pPr>
      <w:rPr>
        <w:rFonts w:ascii="Tahoma" w:hAnsi="Tahoma" w:hint="default"/>
      </w:rPr>
    </w:lvl>
    <w:lvl w:ilvl="3" w:tplc="0D46B8B8" w:tentative="1">
      <w:start w:val="1"/>
      <w:numFmt w:val="bullet"/>
      <w:lvlText w:val="•"/>
      <w:lvlJc w:val="left"/>
      <w:pPr>
        <w:tabs>
          <w:tab w:val="num" w:pos="2524"/>
        </w:tabs>
        <w:ind w:left="2524" w:hanging="360"/>
      </w:pPr>
      <w:rPr>
        <w:rFonts w:ascii="Tahoma" w:hAnsi="Tahoma" w:hint="default"/>
      </w:rPr>
    </w:lvl>
    <w:lvl w:ilvl="4" w:tplc="F1A6FAF0" w:tentative="1">
      <w:start w:val="1"/>
      <w:numFmt w:val="bullet"/>
      <w:lvlText w:val="•"/>
      <w:lvlJc w:val="left"/>
      <w:pPr>
        <w:tabs>
          <w:tab w:val="num" w:pos="3244"/>
        </w:tabs>
        <w:ind w:left="3244" w:hanging="360"/>
      </w:pPr>
      <w:rPr>
        <w:rFonts w:ascii="Tahoma" w:hAnsi="Tahoma" w:hint="default"/>
      </w:rPr>
    </w:lvl>
    <w:lvl w:ilvl="5" w:tplc="4B045062" w:tentative="1">
      <w:start w:val="1"/>
      <w:numFmt w:val="bullet"/>
      <w:lvlText w:val="•"/>
      <w:lvlJc w:val="left"/>
      <w:pPr>
        <w:tabs>
          <w:tab w:val="num" w:pos="3964"/>
        </w:tabs>
        <w:ind w:left="3964" w:hanging="360"/>
      </w:pPr>
      <w:rPr>
        <w:rFonts w:ascii="Tahoma" w:hAnsi="Tahoma" w:hint="default"/>
      </w:rPr>
    </w:lvl>
    <w:lvl w:ilvl="6" w:tplc="20A48928" w:tentative="1">
      <w:start w:val="1"/>
      <w:numFmt w:val="bullet"/>
      <w:lvlText w:val="•"/>
      <w:lvlJc w:val="left"/>
      <w:pPr>
        <w:tabs>
          <w:tab w:val="num" w:pos="4684"/>
        </w:tabs>
        <w:ind w:left="4684" w:hanging="360"/>
      </w:pPr>
      <w:rPr>
        <w:rFonts w:ascii="Tahoma" w:hAnsi="Tahoma" w:hint="default"/>
      </w:rPr>
    </w:lvl>
    <w:lvl w:ilvl="7" w:tplc="69986062" w:tentative="1">
      <w:start w:val="1"/>
      <w:numFmt w:val="bullet"/>
      <w:lvlText w:val="•"/>
      <w:lvlJc w:val="left"/>
      <w:pPr>
        <w:tabs>
          <w:tab w:val="num" w:pos="5404"/>
        </w:tabs>
        <w:ind w:left="5404" w:hanging="360"/>
      </w:pPr>
      <w:rPr>
        <w:rFonts w:ascii="Tahoma" w:hAnsi="Tahoma" w:hint="default"/>
      </w:rPr>
    </w:lvl>
    <w:lvl w:ilvl="8" w:tplc="2D7C4850" w:tentative="1">
      <w:start w:val="1"/>
      <w:numFmt w:val="bullet"/>
      <w:lvlText w:val="•"/>
      <w:lvlJc w:val="left"/>
      <w:pPr>
        <w:tabs>
          <w:tab w:val="num" w:pos="6124"/>
        </w:tabs>
        <w:ind w:left="6124" w:hanging="360"/>
      </w:pPr>
      <w:rPr>
        <w:rFonts w:ascii="Tahoma" w:hAnsi="Tahoma" w:hint="default"/>
      </w:rPr>
    </w:lvl>
  </w:abstractNum>
  <w:abstractNum w:abstractNumId="29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F85F94"/>
    <w:multiLevelType w:val="hybridMultilevel"/>
    <w:tmpl w:val="0F14B59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5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86B8F"/>
    <w:multiLevelType w:val="hybridMultilevel"/>
    <w:tmpl w:val="1C229384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0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42"/>
  </w:num>
  <w:num w:numId="4">
    <w:abstractNumId w:val="24"/>
  </w:num>
  <w:num w:numId="5">
    <w:abstractNumId w:val="26"/>
  </w:num>
  <w:num w:numId="6">
    <w:abstractNumId w:val="27"/>
  </w:num>
  <w:num w:numId="7">
    <w:abstractNumId w:val="15"/>
  </w:num>
  <w:num w:numId="8">
    <w:abstractNumId w:val="19"/>
  </w:num>
  <w:num w:numId="9">
    <w:abstractNumId w:val="16"/>
  </w:num>
  <w:num w:numId="10">
    <w:abstractNumId w:val="41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38"/>
  </w:num>
  <w:num w:numId="16">
    <w:abstractNumId w:val="14"/>
  </w:num>
  <w:num w:numId="17">
    <w:abstractNumId w:val="35"/>
  </w:num>
  <w:num w:numId="18">
    <w:abstractNumId w:val="29"/>
  </w:num>
  <w:num w:numId="19">
    <w:abstractNumId w:val="22"/>
  </w:num>
  <w:num w:numId="20">
    <w:abstractNumId w:val="10"/>
  </w:num>
  <w:num w:numId="21">
    <w:abstractNumId w:val="13"/>
  </w:num>
  <w:num w:numId="22">
    <w:abstractNumId w:val="6"/>
  </w:num>
  <w:num w:numId="23">
    <w:abstractNumId w:val="21"/>
  </w:num>
  <w:num w:numId="24">
    <w:abstractNumId w:val="36"/>
  </w:num>
  <w:num w:numId="25">
    <w:abstractNumId w:val="12"/>
  </w:num>
  <w:num w:numId="26">
    <w:abstractNumId w:val="8"/>
  </w:num>
  <w:num w:numId="27">
    <w:abstractNumId w:val="31"/>
  </w:num>
  <w:num w:numId="28">
    <w:abstractNumId w:val="9"/>
  </w:num>
  <w:num w:numId="29">
    <w:abstractNumId w:val="33"/>
  </w:num>
  <w:num w:numId="30">
    <w:abstractNumId w:val="17"/>
  </w:num>
  <w:num w:numId="31">
    <w:abstractNumId w:val="37"/>
  </w:num>
  <w:num w:numId="32">
    <w:abstractNumId w:val="32"/>
  </w:num>
  <w:num w:numId="33">
    <w:abstractNumId w:val="7"/>
  </w:num>
  <w:num w:numId="34">
    <w:abstractNumId w:val="11"/>
  </w:num>
  <w:num w:numId="35">
    <w:abstractNumId w:val="3"/>
  </w:num>
  <w:num w:numId="36">
    <w:abstractNumId w:val="40"/>
  </w:num>
  <w:num w:numId="37">
    <w:abstractNumId w:val="0"/>
  </w:num>
  <w:num w:numId="38">
    <w:abstractNumId w:val="20"/>
  </w:num>
  <w:num w:numId="39">
    <w:abstractNumId w:val="25"/>
  </w:num>
  <w:num w:numId="40">
    <w:abstractNumId w:val="23"/>
  </w:num>
  <w:num w:numId="41">
    <w:abstractNumId w:val="28"/>
  </w:num>
  <w:num w:numId="42">
    <w:abstractNumId w:val="3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145B4"/>
    <w:rsid w:val="00030255"/>
    <w:rsid w:val="00050535"/>
    <w:rsid w:val="00066622"/>
    <w:rsid w:val="00080B9E"/>
    <w:rsid w:val="000B2B03"/>
    <w:rsid w:val="000B7CC5"/>
    <w:rsid w:val="000C2230"/>
    <w:rsid w:val="000C63D7"/>
    <w:rsid w:val="000C6488"/>
    <w:rsid w:val="000E3BD9"/>
    <w:rsid w:val="000F7B87"/>
    <w:rsid w:val="00100346"/>
    <w:rsid w:val="00101E99"/>
    <w:rsid w:val="001178A4"/>
    <w:rsid w:val="0012222F"/>
    <w:rsid w:val="00125460"/>
    <w:rsid w:val="00133776"/>
    <w:rsid w:val="00134016"/>
    <w:rsid w:val="001342DB"/>
    <w:rsid w:val="001546E7"/>
    <w:rsid w:val="00165943"/>
    <w:rsid w:val="00170124"/>
    <w:rsid w:val="00177A03"/>
    <w:rsid w:val="001E6998"/>
    <w:rsid w:val="001F4396"/>
    <w:rsid w:val="00206FD9"/>
    <w:rsid w:val="00226854"/>
    <w:rsid w:val="002403B2"/>
    <w:rsid w:val="00262898"/>
    <w:rsid w:val="00265299"/>
    <w:rsid w:val="002658AC"/>
    <w:rsid w:val="00272B52"/>
    <w:rsid w:val="00274E85"/>
    <w:rsid w:val="00280478"/>
    <w:rsid w:val="0028530C"/>
    <w:rsid w:val="00294DA1"/>
    <w:rsid w:val="002D6590"/>
    <w:rsid w:val="002E0298"/>
    <w:rsid w:val="002E66D9"/>
    <w:rsid w:val="002F4AC1"/>
    <w:rsid w:val="0030668A"/>
    <w:rsid w:val="00322552"/>
    <w:rsid w:val="003242CA"/>
    <w:rsid w:val="00335DE1"/>
    <w:rsid w:val="00345A87"/>
    <w:rsid w:val="00350477"/>
    <w:rsid w:val="0036464A"/>
    <w:rsid w:val="003A477C"/>
    <w:rsid w:val="003B172D"/>
    <w:rsid w:val="003B4A59"/>
    <w:rsid w:val="003C6631"/>
    <w:rsid w:val="003C6D61"/>
    <w:rsid w:val="003C727A"/>
    <w:rsid w:val="003C7ECD"/>
    <w:rsid w:val="003F26DA"/>
    <w:rsid w:val="0040475E"/>
    <w:rsid w:val="004115E5"/>
    <w:rsid w:val="00427296"/>
    <w:rsid w:val="00433DF4"/>
    <w:rsid w:val="00444BFC"/>
    <w:rsid w:val="00450B9E"/>
    <w:rsid w:val="00470F16"/>
    <w:rsid w:val="00471858"/>
    <w:rsid w:val="004822A7"/>
    <w:rsid w:val="00484B70"/>
    <w:rsid w:val="0049004F"/>
    <w:rsid w:val="00492914"/>
    <w:rsid w:val="004A561D"/>
    <w:rsid w:val="004B03D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52FD"/>
    <w:rsid w:val="004F303E"/>
    <w:rsid w:val="00512A26"/>
    <w:rsid w:val="005271CD"/>
    <w:rsid w:val="0052722C"/>
    <w:rsid w:val="005330C2"/>
    <w:rsid w:val="00535A33"/>
    <w:rsid w:val="005405B2"/>
    <w:rsid w:val="005544E8"/>
    <w:rsid w:val="005649AB"/>
    <w:rsid w:val="005667BF"/>
    <w:rsid w:val="00570D16"/>
    <w:rsid w:val="005A00E0"/>
    <w:rsid w:val="005C433B"/>
    <w:rsid w:val="005C64E0"/>
    <w:rsid w:val="005D6B22"/>
    <w:rsid w:val="005E0069"/>
    <w:rsid w:val="005E0F0D"/>
    <w:rsid w:val="005F6B61"/>
    <w:rsid w:val="0060244B"/>
    <w:rsid w:val="00633E48"/>
    <w:rsid w:val="0065122E"/>
    <w:rsid w:val="00661A2C"/>
    <w:rsid w:val="0066561F"/>
    <w:rsid w:val="00670A6F"/>
    <w:rsid w:val="00681266"/>
    <w:rsid w:val="00682D3A"/>
    <w:rsid w:val="006A55E8"/>
    <w:rsid w:val="006A5FAA"/>
    <w:rsid w:val="006C7174"/>
    <w:rsid w:val="006D307F"/>
    <w:rsid w:val="006D450A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86B"/>
    <w:rsid w:val="0073622D"/>
    <w:rsid w:val="00745109"/>
    <w:rsid w:val="00745815"/>
    <w:rsid w:val="007471ED"/>
    <w:rsid w:val="00756B2D"/>
    <w:rsid w:val="00776CE6"/>
    <w:rsid w:val="00783265"/>
    <w:rsid w:val="00786B93"/>
    <w:rsid w:val="007925C4"/>
    <w:rsid w:val="007A2DAB"/>
    <w:rsid w:val="007B329D"/>
    <w:rsid w:val="007B63BE"/>
    <w:rsid w:val="007D33F4"/>
    <w:rsid w:val="007D6F55"/>
    <w:rsid w:val="00812B83"/>
    <w:rsid w:val="0082065D"/>
    <w:rsid w:val="00833B6C"/>
    <w:rsid w:val="00841EAC"/>
    <w:rsid w:val="008451F9"/>
    <w:rsid w:val="00854C82"/>
    <w:rsid w:val="008742C8"/>
    <w:rsid w:val="008818F2"/>
    <w:rsid w:val="008918CA"/>
    <w:rsid w:val="008A2A8F"/>
    <w:rsid w:val="008A372E"/>
    <w:rsid w:val="008B7A72"/>
    <w:rsid w:val="008C2CD8"/>
    <w:rsid w:val="00910830"/>
    <w:rsid w:val="00926290"/>
    <w:rsid w:val="00934757"/>
    <w:rsid w:val="0094297A"/>
    <w:rsid w:val="00952E3B"/>
    <w:rsid w:val="00953AE2"/>
    <w:rsid w:val="00961EAE"/>
    <w:rsid w:val="00975115"/>
    <w:rsid w:val="0098779E"/>
    <w:rsid w:val="0099107E"/>
    <w:rsid w:val="009C5486"/>
    <w:rsid w:val="009C5FA7"/>
    <w:rsid w:val="009E17F9"/>
    <w:rsid w:val="009F59F6"/>
    <w:rsid w:val="009F6923"/>
    <w:rsid w:val="00A0664B"/>
    <w:rsid w:val="00A24109"/>
    <w:rsid w:val="00A309B8"/>
    <w:rsid w:val="00A6441A"/>
    <w:rsid w:val="00A75770"/>
    <w:rsid w:val="00A84185"/>
    <w:rsid w:val="00A93928"/>
    <w:rsid w:val="00AB6FBC"/>
    <w:rsid w:val="00AC6A6C"/>
    <w:rsid w:val="00AD0DF2"/>
    <w:rsid w:val="00AE3C61"/>
    <w:rsid w:val="00AE3D93"/>
    <w:rsid w:val="00AF54E9"/>
    <w:rsid w:val="00B01A96"/>
    <w:rsid w:val="00B0223B"/>
    <w:rsid w:val="00B1132E"/>
    <w:rsid w:val="00B32E4E"/>
    <w:rsid w:val="00B36A6D"/>
    <w:rsid w:val="00B3760B"/>
    <w:rsid w:val="00B4261E"/>
    <w:rsid w:val="00B4502F"/>
    <w:rsid w:val="00B63803"/>
    <w:rsid w:val="00B73408"/>
    <w:rsid w:val="00B76A90"/>
    <w:rsid w:val="00B82BF8"/>
    <w:rsid w:val="00B90E45"/>
    <w:rsid w:val="00B955DF"/>
    <w:rsid w:val="00BA0636"/>
    <w:rsid w:val="00BB7042"/>
    <w:rsid w:val="00BC1EF0"/>
    <w:rsid w:val="00BC2238"/>
    <w:rsid w:val="00BC41DA"/>
    <w:rsid w:val="00BE1208"/>
    <w:rsid w:val="00BE1E43"/>
    <w:rsid w:val="00BF26FD"/>
    <w:rsid w:val="00C003F4"/>
    <w:rsid w:val="00C06F0B"/>
    <w:rsid w:val="00C1237B"/>
    <w:rsid w:val="00C22B8A"/>
    <w:rsid w:val="00C30DF6"/>
    <w:rsid w:val="00C37815"/>
    <w:rsid w:val="00C61136"/>
    <w:rsid w:val="00C72B56"/>
    <w:rsid w:val="00C817E4"/>
    <w:rsid w:val="00C8786D"/>
    <w:rsid w:val="00C965C7"/>
    <w:rsid w:val="00CB0D44"/>
    <w:rsid w:val="00CC05F1"/>
    <w:rsid w:val="00CC3AC0"/>
    <w:rsid w:val="00CD1603"/>
    <w:rsid w:val="00CD6FCF"/>
    <w:rsid w:val="00CE64A1"/>
    <w:rsid w:val="00CF2700"/>
    <w:rsid w:val="00D07C7E"/>
    <w:rsid w:val="00D140CD"/>
    <w:rsid w:val="00D155E9"/>
    <w:rsid w:val="00D26C2D"/>
    <w:rsid w:val="00D3162C"/>
    <w:rsid w:val="00D31B81"/>
    <w:rsid w:val="00D373D4"/>
    <w:rsid w:val="00D437F5"/>
    <w:rsid w:val="00D47492"/>
    <w:rsid w:val="00D516A6"/>
    <w:rsid w:val="00D72EB8"/>
    <w:rsid w:val="00D87568"/>
    <w:rsid w:val="00DA5DB5"/>
    <w:rsid w:val="00DB15E7"/>
    <w:rsid w:val="00DC0ED2"/>
    <w:rsid w:val="00DC1E08"/>
    <w:rsid w:val="00DC2D57"/>
    <w:rsid w:val="00DC53EF"/>
    <w:rsid w:val="00DC7660"/>
    <w:rsid w:val="00DD151A"/>
    <w:rsid w:val="00DD6749"/>
    <w:rsid w:val="00DD6F08"/>
    <w:rsid w:val="00DE74D2"/>
    <w:rsid w:val="00DF30B3"/>
    <w:rsid w:val="00DF6871"/>
    <w:rsid w:val="00E02F94"/>
    <w:rsid w:val="00E05649"/>
    <w:rsid w:val="00E30D9E"/>
    <w:rsid w:val="00E371CB"/>
    <w:rsid w:val="00E667CF"/>
    <w:rsid w:val="00E737B6"/>
    <w:rsid w:val="00E93C23"/>
    <w:rsid w:val="00EC097C"/>
    <w:rsid w:val="00EC7030"/>
    <w:rsid w:val="00EC78EE"/>
    <w:rsid w:val="00ED2FE2"/>
    <w:rsid w:val="00EE0DCC"/>
    <w:rsid w:val="00F03185"/>
    <w:rsid w:val="00F068B0"/>
    <w:rsid w:val="00F41775"/>
    <w:rsid w:val="00F4315C"/>
    <w:rsid w:val="00F44011"/>
    <w:rsid w:val="00F44151"/>
    <w:rsid w:val="00F52C82"/>
    <w:rsid w:val="00F5580E"/>
    <w:rsid w:val="00F57D15"/>
    <w:rsid w:val="00F6041B"/>
    <w:rsid w:val="00F70B70"/>
    <w:rsid w:val="00F83690"/>
    <w:rsid w:val="00F8599D"/>
    <w:rsid w:val="00F94A53"/>
    <w:rsid w:val="00FA5FA3"/>
    <w:rsid w:val="00FC23F0"/>
    <w:rsid w:val="00FC308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A3A92CE-9F00-4841-9C5F-0971A8F6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table" w:styleId="TableGrid">
    <w:name w:val="Table Grid"/>
    <w:basedOn w:val="TableNormal"/>
    <w:rsid w:val="0032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8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76CE6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76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3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7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5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580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6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4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FB39-CD52-488D-B542-E22A43A2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cp:lastModifiedBy>Hillarie Thomas</cp:lastModifiedBy>
  <cp:revision>1</cp:revision>
  <cp:lastPrinted>2015-03-09T20:19:00Z</cp:lastPrinted>
  <dcterms:created xsi:type="dcterms:W3CDTF">2015-04-09T20:19:00Z</dcterms:created>
  <dcterms:modified xsi:type="dcterms:W3CDTF">2018-04-21T00:05:00Z</dcterms:modified>
</cp:coreProperties>
</file>