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AB6EBA" w:rsidRDefault="002C0256" w:rsidP="001D540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419"/>
        </w:rPr>
      </w:pPr>
      <w:r w:rsidRPr="00AB6EBA">
        <w:rPr>
          <w:rFonts w:ascii="Tahoma" w:hAnsi="Tahoma"/>
          <w:b/>
          <w:sz w:val="22"/>
          <w:lang w:val="es-419"/>
        </w:rPr>
        <w:t xml:space="preserve">Objetivo: </w:t>
      </w:r>
      <w:r w:rsidRPr="00AB6EBA">
        <w:rPr>
          <w:rFonts w:ascii="Tahoma" w:hAnsi="Tahoma"/>
          <w:sz w:val="22"/>
          <w:lang w:val="es-419"/>
        </w:rPr>
        <w:t>Comunicar los requisitos básicos de los interruptores de desconexión eléctrica</w:t>
      </w:r>
    </w:p>
    <w:p w:rsidR="002C0256" w:rsidRPr="00AB6EBA" w:rsidRDefault="002C0256" w:rsidP="001D540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419"/>
        </w:rPr>
      </w:pPr>
    </w:p>
    <w:p w:rsidR="002C0256" w:rsidRPr="00AB6EBA" w:rsidRDefault="002120F8" w:rsidP="001D540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419"/>
        </w:rPr>
      </w:pPr>
      <w:r>
        <w:rPr>
          <w:rFonts w:ascii="Tahoma" w:hAnsi="Tahoma" w:cs="Tahoma"/>
          <w:noProof/>
          <w:sz w:val="22"/>
          <w:szCs w:val="22"/>
          <w:lang w:val="es-419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E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AB6EBA" w:rsidRDefault="00E964DD" w:rsidP="001D540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419"/>
        </w:rPr>
      </w:pPr>
    </w:p>
    <w:p w:rsidR="001D540D" w:rsidRPr="00AB6EBA" w:rsidRDefault="001D540D" w:rsidP="001D540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419"/>
        </w:rPr>
      </w:pPr>
    </w:p>
    <w:p w:rsidR="00415FF9" w:rsidRPr="00AB6EBA" w:rsidRDefault="00F26F68" w:rsidP="00FE4BE3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419"/>
        </w:rPr>
      </w:pPr>
      <w:r w:rsidRPr="00AB6EBA">
        <w:rPr>
          <w:rFonts w:ascii="Tahoma" w:hAnsi="Tahoma" w:cs="Tahoma"/>
          <w:b/>
          <w:noProof/>
          <w:color w:val="315CA3"/>
          <w:sz w:val="28"/>
          <w:szCs w:val="28"/>
          <w:lang w:val="en-US" w:eastAsia="en-US" w:bidi="ar-SA"/>
        </w:rPr>
        <w:drawing>
          <wp:anchor distT="0" distB="182880" distL="274320" distR="114300" simplePos="0" relativeHeight="251678208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368935</wp:posOffset>
            </wp:positionV>
            <wp:extent cx="1845945" cy="3038475"/>
            <wp:effectExtent l="0" t="0" r="1905" b="9525"/>
            <wp:wrapSquare wrapText="bothSides"/>
            <wp:docPr id="2050" name="Picture 2" descr="K:\Photos\Lockout-Tagout\bigstock_Danger_-_Lockout_Electrical_Sw_226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:\Photos\Lockout-Tagout\bigstock_Danger_-_Lockout_Electrical_Sw_2262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9" t="-1" b="7125"/>
                    <a:stretch/>
                  </pic:blipFill>
                  <pic:spPr bwMode="auto">
                    <a:xfrm>
                      <a:off x="0" y="0"/>
                      <a:ext cx="184594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6EBA">
        <w:rPr>
          <w:rFonts w:ascii="Tahoma" w:hAnsi="Tahoma"/>
          <w:b/>
          <w:color w:val="315CA3"/>
          <w:sz w:val="28"/>
          <w:lang w:val="es-419"/>
        </w:rPr>
        <w:t>Ejemplos de interruptores de desconexión eléctrica</w:t>
      </w:r>
    </w:p>
    <w:p w:rsidR="00415FF9" w:rsidRPr="00AB6EBA" w:rsidRDefault="00415FF9" w:rsidP="00CD0E0B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419"/>
        </w:rPr>
      </w:pPr>
      <w:r w:rsidRPr="00AB6EBA">
        <w:rPr>
          <w:rFonts w:ascii="Tahoma" w:hAnsi="Tahoma"/>
          <w:color w:val="000000"/>
          <w:sz w:val="22"/>
          <w:lang w:val="es-419"/>
        </w:rPr>
        <w:t>Cortacircuitos</w:t>
      </w:r>
    </w:p>
    <w:p w:rsidR="00415FF9" w:rsidRPr="00AB6EBA" w:rsidRDefault="00415FF9" w:rsidP="00CD0E0B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419"/>
        </w:rPr>
      </w:pPr>
      <w:r w:rsidRPr="00AB6EBA">
        <w:rPr>
          <w:rFonts w:ascii="Tahoma" w:hAnsi="Tahoma"/>
          <w:color w:val="000000"/>
          <w:sz w:val="22"/>
          <w:lang w:val="es-419"/>
        </w:rPr>
        <w:t>Interruptor de cuchillas monofásico y trifásico</w:t>
      </w:r>
    </w:p>
    <w:p w:rsidR="00F26F68" w:rsidRPr="00AB6EBA" w:rsidRDefault="003C5921" w:rsidP="00F26F68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419"/>
        </w:rPr>
      </w:pPr>
      <w:r w:rsidRPr="00AB6EBA">
        <w:rPr>
          <w:rFonts w:ascii="Tahoma" w:hAnsi="Tahoma"/>
          <w:b/>
          <w:color w:val="315CA3"/>
          <w:sz w:val="28"/>
          <w:lang w:val="es-419"/>
        </w:rPr>
        <w:t>Requisitos</w:t>
      </w:r>
    </w:p>
    <w:p w:rsidR="00F25E11" w:rsidRPr="00AB6EBA" w:rsidRDefault="00F25E11" w:rsidP="00CD0E0B">
      <w:pPr>
        <w:pStyle w:val="NormalWeb"/>
        <w:numPr>
          <w:ilvl w:val="0"/>
          <w:numId w:val="3"/>
        </w:numPr>
        <w:spacing w:before="0" w:beforeAutospacing="0" w:after="220" w:afterAutospacing="0"/>
        <w:ind w:left="450" w:right="58" w:hanging="450"/>
        <w:rPr>
          <w:rFonts w:ascii="Tahoma" w:hAnsi="Tahoma" w:cs="Tahoma"/>
          <w:b/>
          <w:sz w:val="22"/>
          <w:szCs w:val="22"/>
          <w:lang w:val="es-419"/>
        </w:rPr>
      </w:pPr>
      <w:r w:rsidRPr="00AB6EBA">
        <w:rPr>
          <w:rFonts w:ascii="Tahoma" w:hAnsi="Tahoma"/>
          <w:sz w:val="22"/>
          <w:lang w:val="es-419"/>
        </w:rPr>
        <w:t>Sepa en qué lugar se encuentran los cortacircuitos y los interruptores de desconexión para acceder a ellos y apagarlos en caso de emergencia.</w:t>
      </w:r>
    </w:p>
    <w:p w:rsidR="00F25E11" w:rsidRPr="00AB6EBA" w:rsidRDefault="00F25E11" w:rsidP="00CD0E0B">
      <w:pPr>
        <w:pStyle w:val="NormalWeb"/>
        <w:numPr>
          <w:ilvl w:val="0"/>
          <w:numId w:val="3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419"/>
        </w:rPr>
      </w:pPr>
      <w:r w:rsidRPr="00AB6EBA">
        <w:rPr>
          <w:rFonts w:ascii="Tahoma" w:hAnsi="Tahoma"/>
          <w:color w:val="000000"/>
          <w:sz w:val="22"/>
          <w:lang w:val="es-419"/>
        </w:rPr>
        <w:t xml:space="preserve">Los cortacircuitos e interruptores de desconexión deben estar marcados según el equipo al que suministran energía. </w:t>
      </w:r>
    </w:p>
    <w:p w:rsidR="00F25E11" w:rsidRPr="00AB6EBA" w:rsidRDefault="00F25E11" w:rsidP="00CD0E0B">
      <w:pPr>
        <w:pStyle w:val="NormalWeb"/>
        <w:numPr>
          <w:ilvl w:val="0"/>
          <w:numId w:val="4"/>
        </w:numPr>
        <w:spacing w:before="0" w:beforeAutospacing="0" w:after="220" w:afterAutospacing="0"/>
        <w:ind w:left="900" w:hanging="450"/>
        <w:rPr>
          <w:rFonts w:ascii="Tahoma" w:hAnsi="Tahoma" w:cs="Tahoma"/>
          <w:color w:val="000000"/>
          <w:sz w:val="22"/>
          <w:szCs w:val="22"/>
          <w:lang w:val="es-419"/>
        </w:rPr>
      </w:pPr>
      <w:r w:rsidRPr="00AB6EBA">
        <w:rPr>
          <w:rFonts w:ascii="Tahoma" w:hAnsi="Tahoma"/>
          <w:color w:val="000000"/>
          <w:sz w:val="22"/>
          <w:lang w:val="es-419"/>
        </w:rPr>
        <w:t>Estas marcas permiten que los equipos de aislamiento de energía estén ubicados correctamente para las actividades de bloqueo y etiquetado de acuerdo con los procedimientos de control de energía de su organización.</w:t>
      </w:r>
      <w:r w:rsidRPr="00AB6EBA">
        <w:rPr>
          <w:lang w:val="es-419"/>
        </w:rPr>
        <w:t xml:space="preserve"> </w:t>
      </w:r>
    </w:p>
    <w:p w:rsidR="00FA114D" w:rsidRPr="00AB6EBA" w:rsidRDefault="00FA114D" w:rsidP="00CD0E0B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  <w:lang w:val="es-419"/>
        </w:rPr>
      </w:pPr>
      <w:r w:rsidRPr="00AB6EBA">
        <w:rPr>
          <w:rFonts w:ascii="Tahoma" w:hAnsi="Tahoma"/>
          <w:sz w:val="22"/>
          <w:lang w:val="es-419"/>
        </w:rPr>
        <w:t>Las listas de identificación de cortacircuitos deben estar cerca</w:t>
      </w:r>
      <w:r w:rsidR="00990240">
        <w:rPr>
          <w:rFonts w:ascii="Tahoma" w:hAnsi="Tahoma"/>
          <w:sz w:val="22"/>
          <w:lang w:val="es-AR"/>
        </w:rPr>
        <w:t>, o en el</w:t>
      </w:r>
      <w:r w:rsidR="00990240" w:rsidRPr="00AB6EBA">
        <w:rPr>
          <w:rFonts w:ascii="Tahoma" w:hAnsi="Tahoma"/>
          <w:sz w:val="22"/>
          <w:lang w:val="es-419"/>
        </w:rPr>
        <w:t xml:space="preserve"> </w:t>
      </w:r>
      <w:r w:rsidR="00990240">
        <w:rPr>
          <w:rFonts w:ascii="Tahoma" w:hAnsi="Tahoma"/>
          <w:sz w:val="22"/>
          <w:lang w:val="es-419"/>
        </w:rPr>
        <w:t>interior</w:t>
      </w:r>
      <w:r w:rsidR="00990240">
        <w:rPr>
          <w:rFonts w:ascii="Tahoma" w:hAnsi="Tahoma"/>
          <w:sz w:val="22"/>
          <w:lang w:val="es-AR"/>
        </w:rPr>
        <w:t>,</w:t>
      </w:r>
      <w:r w:rsidRPr="00AB6EBA">
        <w:rPr>
          <w:rFonts w:ascii="Tahoma" w:hAnsi="Tahoma"/>
          <w:sz w:val="22"/>
          <w:lang w:val="es-419"/>
        </w:rPr>
        <w:t xml:space="preserve"> de la puerta</w:t>
      </w:r>
      <w:r w:rsidR="003C0E84">
        <w:rPr>
          <w:rFonts w:ascii="Tahoma" w:hAnsi="Tahoma"/>
          <w:sz w:val="22"/>
          <w:lang w:val="es-AR"/>
        </w:rPr>
        <w:t xml:space="preserve"> </w:t>
      </w:r>
      <w:r w:rsidR="00990240">
        <w:rPr>
          <w:rFonts w:ascii="Tahoma" w:hAnsi="Tahoma"/>
          <w:sz w:val="22"/>
          <w:lang w:val="es-419"/>
        </w:rPr>
        <w:t>de la caja</w:t>
      </w:r>
      <w:r w:rsidR="003C0E84" w:rsidRPr="00AB6EBA">
        <w:rPr>
          <w:rFonts w:ascii="Tahoma" w:hAnsi="Tahoma"/>
          <w:sz w:val="22"/>
          <w:lang w:val="es-419"/>
        </w:rPr>
        <w:t xml:space="preserve"> de controles que contienen los cortacircuitos</w:t>
      </w:r>
      <w:r w:rsidR="00990240">
        <w:rPr>
          <w:rFonts w:ascii="Tahoma" w:hAnsi="Tahoma"/>
          <w:sz w:val="22"/>
          <w:lang w:val="es-AR"/>
        </w:rPr>
        <w:t>.</w:t>
      </w:r>
      <w:r w:rsidR="00450358">
        <w:rPr>
          <w:rFonts w:ascii="Tahoma" w:hAnsi="Tahoma"/>
          <w:sz w:val="22"/>
          <w:lang w:val="es-419"/>
        </w:rPr>
        <w:t xml:space="preserve"> Asegúrese de que correspondan a</w:t>
      </w:r>
      <w:r w:rsidRPr="00AB6EBA">
        <w:rPr>
          <w:rFonts w:ascii="Tahoma" w:hAnsi="Tahoma"/>
          <w:sz w:val="22"/>
          <w:lang w:val="es-419"/>
        </w:rPr>
        <w:t xml:space="preserve"> los interruptores de desconexión de los cortacircuitos dentro de los tableros de mando.</w:t>
      </w:r>
    </w:p>
    <w:p w:rsidR="00CD0E0B" w:rsidRPr="00AB6EBA" w:rsidRDefault="00FA114D" w:rsidP="00CD0E0B">
      <w:pPr>
        <w:pStyle w:val="NormalWeb"/>
        <w:numPr>
          <w:ilvl w:val="0"/>
          <w:numId w:val="1"/>
        </w:numPr>
        <w:spacing w:before="0" w:beforeAutospacing="0" w:after="60" w:afterAutospacing="0"/>
        <w:ind w:left="450" w:hanging="446"/>
        <w:rPr>
          <w:rFonts w:ascii="Tahoma" w:hAnsi="Tahoma" w:cs="Tahoma"/>
          <w:sz w:val="22"/>
          <w:szCs w:val="22"/>
          <w:lang w:val="es-419"/>
        </w:rPr>
      </w:pPr>
      <w:r w:rsidRPr="00AB6EBA">
        <w:rPr>
          <w:rFonts w:ascii="Tahoma" w:hAnsi="Tahoma"/>
          <w:sz w:val="22"/>
          <w:lang w:val="es-419"/>
        </w:rPr>
        <w:t>Mantenga libres las</w:t>
      </w:r>
      <w:r w:rsidRPr="00AB6EBA">
        <w:rPr>
          <w:lang w:val="es-419"/>
        </w:rPr>
        <w:t xml:space="preserve"> </w:t>
      </w:r>
      <w:r w:rsidRPr="00AB6EBA">
        <w:rPr>
          <w:rFonts w:ascii="Tahoma" w:hAnsi="Tahoma"/>
          <w:color w:val="000000"/>
          <w:sz w:val="22"/>
          <w:lang w:val="es-419"/>
        </w:rPr>
        <w:t>á</w:t>
      </w:r>
      <w:r w:rsidRPr="00AB6EBA">
        <w:rPr>
          <w:rFonts w:ascii="Tahoma" w:hAnsi="Tahoma"/>
          <w:sz w:val="22"/>
          <w:lang w:val="es-419"/>
        </w:rPr>
        <w:t>reas en torno a los interruptores de desconexión eléctrica para permitir el acceso a estos.</w:t>
      </w:r>
    </w:p>
    <w:p w:rsidR="00CD0E0B" w:rsidRPr="00AB6EBA" w:rsidRDefault="00CD0E0B" w:rsidP="00CD0E0B">
      <w:pPr>
        <w:pStyle w:val="NormalWeb"/>
        <w:numPr>
          <w:ilvl w:val="0"/>
          <w:numId w:val="6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  <w:lang w:val="es-419"/>
        </w:rPr>
      </w:pPr>
      <w:r w:rsidRPr="00AB6EBA">
        <w:rPr>
          <w:rFonts w:ascii="Tahoma" w:hAnsi="Tahoma"/>
          <w:b/>
          <w:sz w:val="22"/>
          <w:lang w:val="es-419"/>
        </w:rPr>
        <w:t>No las utilice como áreas de almacenamiento.</w:t>
      </w:r>
      <w:r w:rsidRPr="00AB6EBA">
        <w:rPr>
          <w:rFonts w:ascii="Tahoma" w:hAnsi="Tahoma"/>
          <w:sz w:val="22"/>
          <w:lang w:val="es-419"/>
        </w:rPr>
        <w:t xml:space="preserve"> </w:t>
      </w:r>
    </w:p>
    <w:p w:rsidR="00FA114D" w:rsidRPr="00AB6EBA" w:rsidRDefault="00FA114D" w:rsidP="00CD0E0B">
      <w:pPr>
        <w:pStyle w:val="NormalWeb"/>
        <w:numPr>
          <w:ilvl w:val="0"/>
          <w:numId w:val="5"/>
        </w:numPr>
        <w:spacing w:before="0" w:beforeAutospacing="0" w:after="220" w:afterAutospacing="0"/>
        <w:ind w:left="900" w:hanging="450"/>
        <w:rPr>
          <w:rFonts w:ascii="Tahoma" w:hAnsi="Tahoma" w:cs="Tahoma"/>
          <w:sz w:val="22"/>
          <w:szCs w:val="22"/>
          <w:lang w:val="es-419"/>
        </w:rPr>
      </w:pPr>
      <w:r w:rsidRPr="00AB6EBA">
        <w:rPr>
          <w:rFonts w:ascii="Tahoma" w:hAnsi="Tahoma"/>
          <w:sz w:val="22"/>
          <w:lang w:val="es-419"/>
        </w:rPr>
        <w:t xml:space="preserve">Tiene que haber un espacio despejado de por lo menos tres pies (más en el caso de los voltajes más altos) en frente del equipo eléctrico y a los costados.  </w:t>
      </w:r>
    </w:p>
    <w:p w:rsidR="00FA114D" w:rsidRPr="00AB6EBA" w:rsidRDefault="00FE4BE3" w:rsidP="00CD0E0B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419"/>
        </w:rPr>
      </w:pPr>
      <w:r w:rsidRPr="00AB6EBA">
        <w:rPr>
          <w:rFonts w:ascii="Tahoma" w:hAnsi="Tahoma"/>
          <w:sz w:val="22"/>
          <w:lang w:val="es-419"/>
        </w:rPr>
        <w:lastRenderedPageBreak/>
        <w:t>Asegúrese de que los interruptores de desconexión eléctrica estén marcados correct</w:t>
      </w:r>
      <w:r w:rsidR="00450358">
        <w:rPr>
          <w:rFonts w:ascii="Tahoma" w:hAnsi="Tahoma"/>
          <w:sz w:val="22"/>
          <w:lang w:val="es-419"/>
        </w:rPr>
        <w:t xml:space="preserve">amente y que </w:t>
      </w:r>
      <w:r w:rsidRPr="00AB6EBA">
        <w:rPr>
          <w:rFonts w:ascii="Tahoma" w:hAnsi="Tahoma"/>
          <w:sz w:val="22"/>
          <w:lang w:val="es-419"/>
        </w:rPr>
        <w:t xml:space="preserve">correspondan </w:t>
      </w:r>
      <w:r w:rsidR="00450358">
        <w:rPr>
          <w:rFonts w:ascii="Tahoma" w:hAnsi="Tahoma"/>
          <w:sz w:val="22"/>
          <w:lang w:val="es-AR"/>
        </w:rPr>
        <w:t>a</w:t>
      </w:r>
      <w:r w:rsidRPr="00AB6EBA">
        <w:rPr>
          <w:rFonts w:ascii="Tahoma" w:hAnsi="Tahoma"/>
          <w:sz w:val="22"/>
          <w:lang w:val="es-419"/>
        </w:rPr>
        <w:t xml:space="preserve"> los procedimientos de control de energía del equipo para las </w:t>
      </w:r>
      <w:r w:rsidRPr="00AB6EBA">
        <w:rPr>
          <w:rFonts w:ascii="Tahoma" w:hAnsi="Tahoma"/>
          <w:color w:val="000000"/>
          <w:sz w:val="22"/>
          <w:lang w:val="es-419"/>
        </w:rPr>
        <w:t>actividades de bloqueo.</w:t>
      </w:r>
    </w:p>
    <w:p w:rsidR="00DC7660" w:rsidRPr="00AB6EBA" w:rsidRDefault="00FA114D" w:rsidP="00CD0E0B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419"/>
        </w:rPr>
      </w:pPr>
      <w:r w:rsidRPr="00AB6EBA">
        <w:rPr>
          <w:rFonts w:ascii="Tahoma" w:hAnsi="Tahoma"/>
          <w:color w:val="000000"/>
          <w:sz w:val="22"/>
          <w:lang w:val="es-419"/>
        </w:rPr>
        <w:t xml:space="preserve">Si faltan cortacircuitos en las cajas de controles, es necesario instalar “placas ciegas” para evitar el acceso a las partes energizadas.  </w:t>
      </w:r>
    </w:p>
    <w:p w:rsidR="0045764A" w:rsidRPr="00AB6EBA" w:rsidRDefault="000B5717" w:rsidP="000B5717">
      <w:pPr>
        <w:tabs>
          <w:tab w:val="left" w:pos="3960"/>
        </w:tabs>
        <w:spacing w:after="220"/>
        <w:rPr>
          <w:rFonts w:ascii="Tahoma" w:hAnsi="Tahoma" w:cs="Tahoma"/>
          <w:sz w:val="22"/>
          <w:szCs w:val="22"/>
          <w:lang w:val="es-419"/>
        </w:rPr>
      </w:pPr>
      <w:r w:rsidRPr="00AB6EBA">
        <w:rPr>
          <w:lang w:val="es-419"/>
        </w:rPr>
        <w:tab/>
      </w:r>
    </w:p>
    <w:p w:rsidR="0045764A" w:rsidRDefault="0045764A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1D540D">
      <w:pPr>
        <w:jc w:val="both"/>
        <w:rPr>
          <w:rFonts w:ascii="Tahoma" w:hAnsi="Tahoma"/>
          <w:color w:val="D9D9D9" w:themeColor="background1" w:themeShade="D9"/>
          <w:sz w:val="22"/>
          <w:lang w:val="es-419"/>
        </w:rPr>
      </w:pPr>
    </w:p>
    <w:p w:rsidR="00964996" w:rsidRDefault="00964996" w:rsidP="00964996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64996" w:rsidRDefault="00964996" w:rsidP="0096499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964996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E6" w:rsidRDefault="00B84EE6">
      <w:r>
        <w:separator/>
      </w:r>
    </w:p>
  </w:endnote>
  <w:endnote w:type="continuationSeparator" w:id="0">
    <w:p w:rsidR="00B84EE6" w:rsidRDefault="00B8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008F7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2120F8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E6" w:rsidRDefault="00B84EE6">
      <w:r>
        <w:separator/>
      </w:r>
    </w:p>
  </w:footnote>
  <w:footnote w:type="continuationSeparator" w:id="0">
    <w:p w:rsidR="00B84EE6" w:rsidRDefault="00B8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120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4536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Bloqueo y etiquetado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CB4536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Interruptores de desconexión eléctrica</w:t>
          </w:r>
          <w:r>
            <w:rPr>
              <w:rFonts w:ascii="Tahoma" w:hAnsi="Tahoma"/>
              <w:color w:val="DA5500"/>
              <w:sz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120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2046"/>
    <w:multiLevelType w:val="hybridMultilevel"/>
    <w:tmpl w:val="9A9A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3DEB"/>
    <w:multiLevelType w:val="hybridMultilevel"/>
    <w:tmpl w:val="1E8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A3698"/>
    <w:multiLevelType w:val="hybridMultilevel"/>
    <w:tmpl w:val="57B8C2AA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53D1F"/>
    <w:multiLevelType w:val="hybridMultilevel"/>
    <w:tmpl w:val="0DBC2224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35BE1"/>
    <w:multiLevelType w:val="hybridMultilevel"/>
    <w:tmpl w:val="FFC61636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95863"/>
    <w:rsid w:val="000B2B03"/>
    <w:rsid w:val="000B5717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7A03"/>
    <w:rsid w:val="001B0398"/>
    <w:rsid w:val="001C2C4B"/>
    <w:rsid w:val="001D540D"/>
    <w:rsid w:val="001E6998"/>
    <w:rsid w:val="00206FD9"/>
    <w:rsid w:val="002075F3"/>
    <w:rsid w:val="002120F8"/>
    <w:rsid w:val="00226854"/>
    <w:rsid w:val="0024241C"/>
    <w:rsid w:val="002537E9"/>
    <w:rsid w:val="00262898"/>
    <w:rsid w:val="00265299"/>
    <w:rsid w:val="00272B52"/>
    <w:rsid w:val="00280478"/>
    <w:rsid w:val="0028530C"/>
    <w:rsid w:val="00290252"/>
    <w:rsid w:val="002A21AC"/>
    <w:rsid w:val="002C0256"/>
    <w:rsid w:val="002D27E6"/>
    <w:rsid w:val="002D5B3A"/>
    <w:rsid w:val="002D6590"/>
    <w:rsid w:val="002E66D9"/>
    <w:rsid w:val="00305964"/>
    <w:rsid w:val="003064FA"/>
    <w:rsid w:val="00315F40"/>
    <w:rsid w:val="00322552"/>
    <w:rsid w:val="00330324"/>
    <w:rsid w:val="00335DE1"/>
    <w:rsid w:val="00350477"/>
    <w:rsid w:val="003A477C"/>
    <w:rsid w:val="003B49F1"/>
    <w:rsid w:val="003C0E84"/>
    <w:rsid w:val="003C136B"/>
    <w:rsid w:val="003C5921"/>
    <w:rsid w:val="003C6631"/>
    <w:rsid w:val="003C727A"/>
    <w:rsid w:val="004115E5"/>
    <w:rsid w:val="00414CE8"/>
    <w:rsid w:val="0041589B"/>
    <w:rsid w:val="00415FF9"/>
    <w:rsid w:val="00421521"/>
    <w:rsid w:val="00427296"/>
    <w:rsid w:val="00432A7C"/>
    <w:rsid w:val="00444465"/>
    <w:rsid w:val="00444BFC"/>
    <w:rsid w:val="00450358"/>
    <w:rsid w:val="00450B9E"/>
    <w:rsid w:val="004533AD"/>
    <w:rsid w:val="0045764A"/>
    <w:rsid w:val="004666A2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15D2B"/>
    <w:rsid w:val="00627F76"/>
    <w:rsid w:val="00633E48"/>
    <w:rsid w:val="0065122E"/>
    <w:rsid w:val="00661A2C"/>
    <w:rsid w:val="00670A6F"/>
    <w:rsid w:val="00670ABC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27A04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2DA5"/>
    <w:rsid w:val="007B329D"/>
    <w:rsid w:val="007B63BE"/>
    <w:rsid w:val="007D6F55"/>
    <w:rsid w:val="007F3E26"/>
    <w:rsid w:val="00812B83"/>
    <w:rsid w:val="00823703"/>
    <w:rsid w:val="008272DA"/>
    <w:rsid w:val="00833B6C"/>
    <w:rsid w:val="00841EAC"/>
    <w:rsid w:val="00854C82"/>
    <w:rsid w:val="00873DBA"/>
    <w:rsid w:val="008818F2"/>
    <w:rsid w:val="008918CA"/>
    <w:rsid w:val="008A1945"/>
    <w:rsid w:val="008A372E"/>
    <w:rsid w:val="008B7A72"/>
    <w:rsid w:val="008C0546"/>
    <w:rsid w:val="00910830"/>
    <w:rsid w:val="00926290"/>
    <w:rsid w:val="00931D6B"/>
    <w:rsid w:val="00934757"/>
    <w:rsid w:val="0094297A"/>
    <w:rsid w:val="00945D74"/>
    <w:rsid w:val="00964996"/>
    <w:rsid w:val="00967005"/>
    <w:rsid w:val="009818F4"/>
    <w:rsid w:val="0098779E"/>
    <w:rsid w:val="00990240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33266"/>
    <w:rsid w:val="00A75770"/>
    <w:rsid w:val="00A81D4B"/>
    <w:rsid w:val="00A84185"/>
    <w:rsid w:val="00A907A9"/>
    <w:rsid w:val="00AA48BC"/>
    <w:rsid w:val="00AB6EBA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84EE6"/>
    <w:rsid w:val="00B856A7"/>
    <w:rsid w:val="00B8605C"/>
    <w:rsid w:val="00B87F62"/>
    <w:rsid w:val="00B941CE"/>
    <w:rsid w:val="00B955DF"/>
    <w:rsid w:val="00B968EA"/>
    <w:rsid w:val="00BB00D8"/>
    <w:rsid w:val="00BB520D"/>
    <w:rsid w:val="00BC1EF8"/>
    <w:rsid w:val="00BC2238"/>
    <w:rsid w:val="00BC41DA"/>
    <w:rsid w:val="00BD7A46"/>
    <w:rsid w:val="00BE1208"/>
    <w:rsid w:val="00BE1E43"/>
    <w:rsid w:val="00BE578B"/>
    <w:rsid w:val="00C22B8A"/>
    <w:rsid w:val="00C2762D"/>
    <w:rsid w:val="00C47C08"/>
    <w:rsid w:val="00C577D5"/>
    <w:rsid w:val="00C61136"/>
    <w:rsid w:val="00C72B56"/>
    <w:rsid w:val="00C817E4"/>
    <w:rsid w:val="00C8786D"/>
    <w:rsid w:val="00C965C7"/>
    <w:rsid w:val="00CA380D"/>
    <w:rsid w:val="00CB0D44"/>
    <w:rsid w:val="00CB3AC9"/>
    <w:rsid w:val="00CB4536"/>
    <w:rsid w:val="00CC05F1"/>
    <w:rsid w:val="00CD0E0B"/>
    <w:rsid w:val="00CD1603"/>
    <w:rsid w:val="00CD6FCF"/>
    <w:rsid w:val="00CD7A54"/>
    <w:rsid w:val="00CE22A4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4F20"/>
    <w:rsid w:val="00D455CB"/>
    <w:rsid w:val="00D724DC"/>
    <w:rsid w:val="00D72EB8"/>
    <w:rsid w:val="00D87568"/>
    <w:rsid w:val="00D87C74"/>
    <w:rsid w:val="00DB15E7"/>
    <w:rsid w:val="00DB5362"/>
    <w:rsid w:val="00DC0ED2"/>
    <w:rsid w:val="00DC1E08"/>
    <w:rsid w:val="00DC2D57"/>
    <w:rsid w:val="00DC53EF"/>
    <w:rsid w:val="00DC5A60"/>
    <w:rsid w:val="00DC7660"/>
    <w:rsid w:val="00DC76B4"/>
    <w:rsid w:val="00DD151A"/>
    <w:rsid w:val="00DD6F08"/>
    <w:rsid w:val="00DF6871"/>
    <w:rsid w:val="00E008F7"/>
    <w:rsid w:val="00E05649"/>
    <w:rsid w:val="00E20D1F"/>
    <w:rsid w:val="00E24F02"/>
    <w:rsid w:val="00E30D9E"/>
    <w:rsid w:val="00E65C3C"/>
    <w:rsid w:val="00E667CF"/>
    <w:rsid w:val="00E737B6"/>
    <w:rsid w:val="00E87429"/>
    <w:rsid w:val="00E964DD"/>
    <w:rsid w:val="00EA3DA1"/>
    <w:rsid w:val="00EB17DD"/>
    <w:rsid w:val="00EC7030"/>
    <w:rsid w:val="00ED2FE2"/>
    <w:rsid w:val="00EE0067"/>
    <w:rsid w:val="00EE0DCC"/>
    <w:rsid w:val="00F03185"/>
    <w:rsid w:val="00F068B0"/>
    <w:rsid w:val="00F200EA"/>
    <w:rsid w:val="00F25E11"/>
    <w:rsid w:val="00F26F68"/>
    <w:rsid w:val="00F41775"/>
    <w:rsid w:val="00F4315C"/>
    <w:rsid w:val="00F44011"/>
    <w:rsid w:val="00F52C82"/>
    <w:rsid w:val="00F5580E"/>
    <w:rsid w:val="00F57D15"/>
    <w:rsid w:val="00F6041B"/>
    <w:rsid w:val="00F6127F"/>
    <w:rsid w:val="00F73AB4"/>
    <w:rsid w:val="00F8599D"/>
    <w:rsid w:val="00F94A53"/>
    <w:rsid w:val="00FA114D"/>
    <w:rsid w:val="00FA5FA3"/>
    <w:rsid w:val="00FC23F0"/>
    <w:rsid w:val="00FC3083"/>
    <w:rsid w:val="00FD233C"/>
    <w:rsid w:val="00FE4BE3"/>
    <w:rsid w:val="00FE4E97"/>
    <w:rsid w:val="00FF367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05D38F59-4C60-423D-B520-4F6CA393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7E98-5795-487B-BB71-713A8833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2</cp:revision>
  <cp:lastPrinted>2014-12-17T00:20:00Z</cp:lastPrinted>
  <dcterms:created xsi:type="dcterms:W3CDTF">2018-02-16T00:46:00Z</dcterms:created>
  <dcterms:modified xsi:type="dcterms:W3CDTF">2018-02-16T00:46:00Z</dcterms:modified>
</cp:coreProperties>
</file>