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3064FA" w:rsidRDefault="002C0256" w:rsidP="001D540D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3064FA">
        <w:rPr>
          <w:rFonts w:ascii="Tahoma" w:hAnsi="Tahoma" w:cs="Tahoma"/>
          <w:b/>
          <w:sz w:val="22"/>
          <w:szCs w:val="22"/>
        </w:rPr>
        <w:t xml:space="preserve">Objective: </w:t>
      </w:r>
      <w:r w:rsidR="00FD233C" w:rsidRPr="003064FA">
        <w:rPr>
          <w:rFonts w:ascii="Tahoma" w:hAnsi="Tahoma" w:cs="Tahoma"/>
          <w:sz w:val="22"/>
          <w:szCs w:val="22"/>
        </w:rPr>
        <w:t>To</w:t>
      </w:r>
      <w:r w:rsidR="00FD233C" w:rsidRPr="003064FA">
        <w:rPr>
          <w:rFonts w:ascii="Tahoma" w:hAnsi="Tahoma" w:cs="Tahoma"/>
          <w:b/>
          <w:sz w:val="22"/>
          <w:szCs w:val="22"/>
        </w:rPr>
        <w:t xml:space="preserve"> </w:t>
      </w:r>
      <w:r w:rsidR="00FD233C" w:rsidRPr="003064FA">
        <w:rPr>
          <w:rFonts w:ascii="Tahoma" w:hAnsi="Tahoma" w:cs="Tahoma"/>
          <w:sz w:val="22"/>
          <w:szCs w:val="22"/>
        </w:rPr>
        <w:t xml:space="preserve">communicate </w:t>
      </w:r>
      <w:r w:rsidR="003C5921" w:rsidRPr="003064FA">
        <w:rPr>
          <w:rFonts w:ascii="Tahoma" w:hAnsi="Tahoma" w:cs="Tahoma"/>
          <w:sz w:val="22"/>
          <w:szCs w:val="22"/>
        </w:rPr>
        <w:t>basic requirements</w:t>
      </w:r>
      <w:r w:rsidR="00FD233C" w:rsidRPr="003064FA">
        <w:rPr>
          <w:rFonts w:ascii="Tahoma" w:hAnsi="Tahoma" w:cs="Tahoma"/>
          <w:sz w:val="22"/>
          <w:szCs w:val="22"/>
        </w:rPr>
        <w:t xml:space="preserve"> for electrical disconnects</w:t>
      </w:r>
    </w:p>
    <w:p w:rsidR="002C0256" w:rsidRDefault="002C0256" w:rsidP="001D540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2C0256" w:rsidRPr="00C36B44" w:rsidRDefault="002C0256" w:rsidP="001D540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C4A1D4" wp14:editId="23812752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D38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Default="00E964DD" w:rsidP="001D540D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1D540D" w:rsidRDefault="001D540D" w:rsidP="001D540D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415FF9" w:rsidRPr="003064FA" w:rsidRDefault="00F26F68" w:rsidP="00FE4BE3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3064FA">
        <w:rPr>
          <w:rFonts w:ascii="Tahoma" w:hAnsi="Tahoma" w:cs="Tahoma"/>
          <w:b/>
          <w:noProof/>
          <w:color w:val="315CA3"/>
          <w:sz w:val="28"/>
          <w:szCs w:val="28"/>
        </w:rPr>
        <w:drawing>
          <wp:anchor distT="0" distB="182880" distL="274320" distR="114300" simplePos="0" relativeHeight="251678208" behindDoc="0" locked="0" layoutInCell="1" allowOverlap="1" wp14:anchorId="556BD560" wp14:editId="24E5A06A">
            <wp:simplePos x="0" y="0"/>
            <wp:positionH relativeFrom="column">
              <wp:posOffset>4107180</wp:posOffset>
            </wp:positionH>
            <wp:positionV relativeFrom="paragraph">
              <wp:posOffset>368935</wp:posOffset>
            </wp:positionV>
            <wp:extent cx="1845945" cy="3038475"/>
            <wp:effectExtent l="0" t="0" r="1905" b="9525"/>
            <wp:wrapSquare wrapText="bothSides"/>
            <wp:docPr id="2050" name="Picture 2" descr="K:\Photos\Lockout-Tagout\bigstock_Danger_-_Lockout_Electrical_Sw_226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K:\Photos\Lockout-Tagout\bigstock_Danger_-_Lockout_Electrical_Sw_22625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9" t="-1" b="7125"/>
                    <a:stretch/>
                  </pic:blipFill>
                  <pic:spPr bwMode="auto">
                    <a:xfrm>
                      <a:off x="0" y="0"/>
                      <a:ext cx="184594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BE3" w:rsidRPr="003064FA">
        <w:rPr>
          <w:rFonts w:ascii="Tahoma" w:hAnsi="Tahoma" w:cs="Tahoma"/>
          <w:b/>
          <w:color w:val="315CA3"/>
          <w:sz w:val="28"/>
          <w:szCs w:val="28"/>
        </w:rPr>
        <w:t>Examples of E</w:t>
      </w:r>
      <w:r w:rsidR="00415FF9" w:rsidRPr="003064FA">
        <w:rPr>
          <w:rFonts w:ascii="Tahoma" w:hAnsi="Tahoma" w:cs="Tahoma"/>
          <w:b/>
          <w:color w:val="315CA3"/>
          <w:sz w:val="28"/>
          <w:szCs w:val="28"/>
        </w:rPr>
        <w:t xml:space="preserve">lectrical </w:t>
      </w:r>
      <w:r w:rsidR="00FE4BE3" w:rsidRPr="003064FA">
        <w:rPr>
          <w:rFonts w:ascii="Tahoma" w:hAnsi="Tahoma" w:cs="Tahoma"/>
          <w:b/>
          <w:color w:val="315CA3"/>
          <w:sz w:val="28"/>
          <w:szCs w:val="28"/>
        </w:rPr>
        <w:t>D</w:t>
      </w:r>
      <w:r w:rsidR="00415FF9" w:rsidRPr="003064FA">
        <w:rPr>
          <w:rFonts w:ascii="Tahoma" w:hAnsi="Tahoma" w:cs="Tahoma"/>
          <w:b/>
          <w:color w:val="315CA3"/>
          <w:sz w:val="28"/>
          <w:szCs w:val="28"/>
        </w:rPr>
        <w:t>isconnects</w:t>
      </w:r>
    </w:p>
    <w:p w:rsidR="00415FF9" w:rsidRPr="00F73AB4" w:rsidRDefault="00415FF9" w:rsidP="00CD0E0B">
      <w:pPr>
        <w:pStyle w:val="NormalWeb"/>
        <w:numPr>
          <w:ilvl w:val="0"/>
          <w:numId w:val="2"/>
        </w:numPr>
        <w:tabs>
          <w:tab w:val="left" w:pos="360"/>
        </w:tabs>
        <w:spacing w:before="0" w:beforeAutospacing="0" w:after="2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 w:rsidRPr="00F73AB4">
        <w:rPr>
          <w:rFonts w:ascii="Tahoma" w:hAnsi="Tahoma" w:cs="Tahoma"/>
          <w:color w:val="000000"/>
          <w:sz w:val="22"/>
          <w:szCs w:val="22"/>
        </w:rPr>
        <w:t>Circuit breakers</w:t>
      </w:r>
    </w:p>
    <w:p w:rsidR="00415FF9" w:rsidRPr="00F73AB4" w:rsidRDefault="00415FF9" w:rsidP="00CD0E0B">
      <w:pPr>
        <w:pStyle w:val="NormalWeb"/>
        <w:numPr>
          <w:ilvl w:val="0"/>
          <w:numId w:val="2"/>
        </w:numPr>
        <w:tabs>
          <w:tab w:val="left" w:pos="360"/>
        </w:tabs>
        <w:spacing w:before="0" w:beforeAutospacing="0" w:after="6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F73AB4">
        <w:rPr>
          <w:rFonts w:ascii="Tahoma" w:hAnsi="Tahoma" w:cs="Tahoma"/>
          <w:color w:val="000000"/>
          <w:sz w:val="22"/>
          <w:szCs w:val="22"/>
        </w:rPr>
        <w:t>Single and three phase knife switch disconnects</w:t>
      </w:r>
    </w:p>
    <w:p w:rsidR="00F26F68" w:rsidRPr="003064FA" w:rsidRDefault="003C5921" w:rsidP="00F26F68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3064FA">
        <w:rPr>
          <w:rFonts w:ascii="Tahoma" w:hAnsi="Tahoma" w:cs="Tahoma"/>
          <w:b/>
          <w:color w:val="315CA3"/>
          <w:sz w:val="28"/>
          <w:szCs w:val="28"/>
        </w:rPr>
        <w:t>Requirements</w:t>
      </w:r>
    </w:p>
    <w:p w:rsidR="00F25E11" w:rsidRPr="003064FA" w:rsidRDefault="00F25E11" w:rsidP="00CD0E0B">
      <w:pPr>
        <w:pStyle w:val="NormalWeb"/>
        <w:numPr>
          <w:ilvl w:val="0"/>
          <w:numId w:val="3"/>
        </w:numPr>
        <w:spacing w:before="0" w:beforeAutospacing="0" w:after="220" w:afterAutospacing="0"/>
        <w:ind w:left="450" w:right="58" w:hanging="450"/>
        <w:rPr>
          <w:rFonts w:ascii="Tahoma" w:hAnsi="Tahoma" w:cs="Tahoma"/>
          <w:b/>
          <w:sz w:val="22"/>
          <w:szCs w:val="22"/>
        </w:rPr>
      </w:pPr>
      <w:r w:rsidRPr="003064FA">
        <w:rPr>
          <w:rFonts w:ascii="Tahoma" w:hAnsi="Tahoma" w:cs="Tahoma"/>
          <w:sz w:val="22"/>
          <w:szCs w:val="22"/>
        </w:rPr>
        <w:t>Know the location of circuit breakers and disconnects so they may be accessed and shut off in an emergency.</w:t>
      </w:r>
    </w:p>
    <w:p w:rsidR="00F25E11" w:rsidRDefault="00F25E11" w:rsidP="00CD0E0B">
      <w:pPr>
        <w:pStyle w:val="NormalWeb"/>
        <w:numPr>
          <w:ilvl w:val="0"/>
          <w:numId w:val="3"/>
        </w:numPr>
        <w:spacing w:before="0" w:beforeAutospacing="0" w:after="1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 w:rsidRPr="00F73AB4">
        <w:rPr>
          <w:rFonts w:ascii="Tahoma" w:hAnsi="Tahoma" w:cs="Tahoma"/>
          <w:color w:val="000000"/>
          <w:sz w:val="22"/>
          <w:szCs w:val="22"/>
        </w:rPr>
        <w:t xml:space="preserve">Circuit breakers and disconnects need to be marked in accordance with the equipment they service. </w:t>
      </w:r>
    </w:p>
    <w:p w:rsidR="00F25E11" w:rsidRDefault="00F25E11" w:rsidP="00CD0E0B">
      <w:pPr>
        <w:pStyle w:val="NormalWeb"/>
        <w:numPr>
          <w:ilvl w:val="0"/>
          <w:numId w:val="4"/>
        </w:numPr>
        <w:spacing w:before="0" w:beforeAutospacing="0" w:after="220" w:afterAutospacing="0"/>
        <w:ind w:left="900" w:hanging="450"/>
        <w:rPr>
          <w:rFonts w:ascii="Tahoma" w:hAnsi="Tahoma" w:cs="Tahoma"/>
          <w:color w:val="000000"/>
          <w:sz w:val="22"/>
          <w:szCs w:val="22"/>
        </w:rPr>
      </w:pPr>
      <w:r w:rsidRPr="00F73AB4">
        <w:rPr>
          <w:rFonts w:ascii="Tahoma" w:hAnsi="Tahoma" w:cs="Tahoma"/>
          <w:color w:val="000000"/>
          <w:sz w:val="22"/>
          <w:szCs w:val="22"/>
        </w:rPr>
        <w:t>These markings allow the proper location of energy isolation devices for lockout/tagout activities in accordance with your organization’s energy control procedures.</w:t>
      </w:r>
      <w:r w:rsidRPr="00F26F68">
        <w:rPr>
          <w:noProof/>
        </w:rPr>
        <w:t xml:space="preserve"> </w:t>
      </w:r>
    </w:p>
    <w:p w:rsidR="00FA114D" w:rsidRPr="003064FA" w:rsidRDefault="00FA114D" w:rsidP="00CD0E0B">
      <w:pPr>
        <w:pStyle w:val="NormalWeb"/>
        <w:numPr>
          <w:ilvl w:val="0"/>
          <w:numId w:val="1"/>
        </w:numPr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</w:rPr>
      </w:pPr>
      <w:r w:rsidRPr="003064FA">
        <w:rPr>
          <w:rFonts w:ascii="Tahoma" w:hAnsi="Tahoma" w:cs="Tahoma"/>
          <w:sz w:val="22"/>
          <w:szCs w:val="22"/>
        </w:rPr>
        <w:t xml:space="preserve">Circuit breaker identification listings need to be present near or on the inside door of panel boxes that house circuit breakers. </w:t>
      </w:r>
      <w:r w:rsidR="00415FF9" w:rsidRPr="003064FA">
        <w:rPr>
          <w:rFonts w:ascii="Tahoma" w:hAnsi="Tahoma" w:cs="Tahoma"/>
          <w:sz w:val="22"/>
          <w:szCs w:val="22"/>
        </w:rPr>
        <w:t>Assure</w:t>
      </w:r>
      <w:r w:rsidRPr="003064FA">
        <w:rPr>
          <w:rFonts w:ascii="Tahoma" w:hAnsi="Tahoma" w:cs="Tahoma"/>
          <w:sz w:val="22"/>
          <w:szCs w:val="22"/>
        </w:rPr>
        <w:t xml:space="preserve"> that </w:t>
      </w:r>
      <w:r w:rsidR="00F25E11" w:rsidRPr="003064FA">
        <w:rPr>
          <w:rFonts w:ascii="Tahoma" w:hAnsi="Tahoma" w:cs="Tahoma"/>
          <w:sz w:val="22"/>
          <w:szCs w:val="22"/>
        </w:rPr>
        <w:t xml:space="preserve">they </w:t>
      </w:r>
      <w:r w:rsidRPr="003064FA">
        <w:rPr>
          <w:rFonts w:ascii="Tahoma" w:hAnsi="Tahoma" w:cs="Tahoma"/>
          <w:sz w:val="22"/>
          <w:szCs w:val="22"/>
        </w:rPr>
        <w:t>correspond to circuit breaker disconnects inside of the panel boards.</w:t>
      </w:r>
    </w:p>
    <w:p w:rsidR="00CD0E0B" w:rsidRPr="003064FA" w:rsidRDefault="00FA114D" w:rsidP="00CD0E0B">
      <w:pPr>
        <w:pStyle w:val="NormalWeb"/>
        <w:numPr>
          <w:ilvl w:val="0"/>
          <w:numId w:val="1"/>
        </w:numPr>
        <w:spacing w:before="0" w:beforeAutospacing="0" w:after="60" w:afterAutospacing="0"/>
        <w:ind w:left="450" w:hanging="446"/>
        <w:rPr>
          <w:rFonts w:ascii="Tahoma" w:hAnsi="Tahoma" w:cs="Tahoma"/>
          <w:sz w:val="22"/>
          <w:szCs w:val="22"/>
        </w:rPr>
      </w:pPr>
      <w:r w:rsidRPr="00FA114D">
        <w:rPr>
          <w:rFonts w:ascii="Tahoma" w:hAnsi="Tahoma" w:cs="Tahoma"/>
          <w:color w:val="000000"/>
          <w:sz w:val="22"/>
          <w:szCs w:val="22"/>
        </w:rPr>
        <w:t xml:space="preserve">Keep </w:t>
      </w:r>
      <w:r w:rsidRPr="003064FA">
        <w:rPr>
          <w:rFonts w:ascii="Tahoma" w:hAnsi="Tahoma" w:cs="Tahoma"/>
          <w:sz w:val="22"/>
          <w:szCs w:val="22"/>
        </w:rPr>
        <w:t>areas around electrical di</w:t>
      </w:r>
      <w:r w:rsidR="00CD0E0B" w:rsidRPr="003064FA">
        <w:rPr>
          <w:rFonts w:ascii="Tahoma" w:hAnsi="Tahoma" w:cs="Tahoma"/>
          <w:sz w:val="22"/>
          <w:szCs w:val="22"/>
        </w:rPr>
        <w:t>sconnects clear to allow access.</w:t>
      </w:r>
    </w:p>
    <w:p w:rsidR="00CD0E0B" w:rsidRPr="003064FA" w:rsidRDefault="00CD0E0B" w:rsidP="00CD0E0B">
      <w:pPr>
        <w:pStyle w:val="NormalWeb"/>
        <w:numPr>
          <w:ilvl w:val="0"/>
          <w:numId w:val="6"/>
        </w:numPr>
        <w:spacing w:before="0" w:beforeAutospacing="0" w:after="60" w:afterAutospacing="0"/>
        <w:ind w:left="900" w:hanging="446"/>
        <w:rPr>
          <w:rFonts w:ascii="Tahoma" w:hAnsi="Tahoma" w:cs="Tahoma"/>
          <w:sz w:val="22"/>
          <w:szCs w:val="22"/>
        </w:rPr>
      </w:pPr>
      <w:r w:rsidRPr="003064FA">
        <w:rPr>
          <w:rFonts w:ascii="Tahoma" w:hAnsi="Tahoma" w:cs="Tahoma"/>
          <w:b/>
          <w:sz w:val="22"/>
          <w:szCs w:val="22"/>
        </w:rPr>
        <w:t>Do not use them as</w:t>
      </w:r>
      <w:r w:rsidR="00FA114D" w:rsidRPr="003064FA">
        <w:rPr>
          <w:rFonts w:ascii="Tahoma" w:hAnsi="Tahoma" w:cs="Tahoma"/>
          <w:b/>
          <w:sz w:val="22"/>
          <w:szCs w:val="22"/>
        </w:rPr>
        <w:t xml:space="preserve"> storage areas</w:t>
      </w:r>
      <w:r w:rsidRPr="003064FA">
        <w:rPr>
          <w:rFonts w:ascii="Tahoma" w:hAnsi="Tahoma" w:cs="Tahoma"/>
          <w:b/>
          <w:sz w:val="22"/>
          <w:szCs w:val="22"/>
        </w:rPr>
        <w:t>.</w:t>
      </w:r>
      <w:r w:rsidR="00FA114D" w:rsidRPr="003064FA">
        <w:rPr>
          <w:rFonts w:ascii="Tahoma" w:hAnsi="Tahoma" w:cs="Tahoma"/>
          <w:sz w:val="22"/>
          <w:szCs w:val="22"/>
        </w:rPr>
        <w:t xml:space="preserve"> </w:t>
      </w:r>
    </w:p>
    <w:p w:rsidR="00FA114D" w:rsidRPr="003064FA" w:rsidRDefault="00FA114D" w:rsidP="00CD0E0B">
      <w:pPr>
        <w:pStyle w:val="NormalWeb"/>
        <w:numPr>
          <w:ilvl w:val="0"/>
          <w:numId w:val="5"/>
        </w:numPr>
        <w:spacing w:before="0" w:beforeAutospacing="0" w:after="220" w:afterAutospacing="0"/>
        <w:ind w:left="900" w:hanging="450"/>
        <w:rPr>
          <w:rFonts w:ascii="Tahoma" w:hAnsi="Tahoma" w:cs="Tahoma"/>
          <w:sz w:val="22"/>
          <w:szCs w:val="22"/>
        </w:rPr>
      </w:pPr>
      <w:r w:rsidRPr="003064FA">
        <w:rPr>
          <w:rFonts w:ascii="Tahoma" w:hAnsi="Tahoma" w:cs="Tahoma"/>
          <w:sz w:val="22"/>
          <w:szCs w:val="22"/>
        </w:rPr>
        <w:t xml:space="preserve">There should be at least three feet (more for higher voltages) of clearance in front of, and to the side of, electrical equipment.  </w:t>
      </w:r>
    </w:p>
    <w:p w:rsidR="00FA114D" w:rsidRPr="00FA114D" w:rsidRDefault="00FE4BE3" w:rsidP="00CD0E0B">
      <w:pPr>
        <w:pStyle w:val="NormalWeb"/>
        <w:numPr>
          <w:ilvl w:val="0"/>
          <w:numId w:val="1"/>
        </w:numPr>
        <w:spacing w:before="0" w:beforeAutospacing="0" w:after="2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 w:rsidRPr="003064FA">
        <w:rPr>
          <w:rFonts w:ascii="Tahoma" w:hAnsi="Tahoma" w:cs="Tahoma"/>
          <w:sz w:val="22"/>
          <w:szCs w:val="22"/>
        </w:rPr>
        <w:t xml:space="preserve">Assure </w:t>
      </w:r>
      <w:r w:rsidR="00FA114D" w:rsidRPr="003064FA">
        <w:rPr>
          <w:rFonts w:ascii="Tahoma" w:hAnsi="Tahoma" w:cs="Tahoma"/>
          <w:sz w:val="22"/>
          <w:szCs w:val="22"/>
        </w:rPr>
        <w:t>electrical disconnects are correctly marked and correspond to the equipment’s energy control proc</w:t>
      </w:r>
      <w:r w:rsidR="00415FF9" w:rsidRPr="003064FA">
        <w:rPr>
          <w:rFonts w:ascii="Tahoma" w:hAnsi="Tahoma" w:cs="Tahoma"/>
          <w:sz w:val="22"/>
          <w:szCs w:val="22"/>
        </w:rPr>
        <w:t>e</w:t>
      </w:r>
      <w:r w:rsidR="00FA114D" w:rsidRPr="003064FA">
        <w:rPr>
          <w:rFonts w:ascii="Tahoma" w:hAnsi="Tahoma" w:cs="Tahoma"/>
          <w:sz w:val="22"/>
          <w:szCs w:val="22"/>
        </w:rPr>
        <w:t xml:space="preserve">dures </w:t>
      </w:r>
      <w:r w:rsidR="00FA114D" w:rsidRPr="00FA114D">
        <w:rPr>
          <w:rFonts w:ascii="Tahoma" w:hAnsi="Tahoma" w:cs="Tahoma"/>
          <w:color w:val="000000"/>
          <w:sz w:val="22"/>
          <w:szCs w:val="22"/>
        </w:rPr>
        <w:t>for lockout activities.</w:t>
      </w:r>
    </w:p>
    <w:p w:rsidR="00DC7660" w:rsidRPr="00FA114D" w:rsidRDefault="00FA114D" w:rsidP="00CD0E0B">
      <w:pPr>
        <w:pStyle w:val="NormalWeb"/>
        <w:numPr>
          <w:ilvl w:val="0"/>
          <w:numId w:val="1"/>
        </w:numPr>
        <w:spacing w:before="0" w:beforeAutospacing="0" w:after="2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 w:rsidRPr="00FA114D">
        <w:rPr>
          <w:rFonts w:ascii="Tahoma" w:hAnsi="Tahoma" w:cs="Tahoma"/>
          <w:color w:val="000000"/>
          <w:sz w:val="22"/>
          <w:szCs w:val="22"/>
        </w:rPr>
        <w:t xml:space="preserve">Missing circuit breakers in panel boxes must have “blanks” installed to prevent access to energized parts.  </w:t>
      </w:r>
    </w:p>
    <w:p w:rsidR="0045764A" w:rsidRDefault="000B5717" w:rsidP="000B5717">
      <w:pPr>
        <w:tabs>
          <w:tab w:val="left" w:pos="3960"/>
        </w:tabs>
        <w:spacing w:after="2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FD233C" w:rsidRDefault="00FD233C" w:rsidP="001D540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F6871" w:rsidRPr="00066622" w:rsidRDefault="00DF6871" w:rsidP="001D540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1D540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F6871" w:rsidRPr="00066622" w:rsidRDefault="00DF6871" w:rsidP="001D540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315F40" w:rsidRPr="00466706" w:rsidRDefault="00315F40" w:rsidP="001D540D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1D540D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1D540D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1D540D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:rsidR="00DF6871" w:rsidRDefault="00DF6871" w:rsidP="001D540D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1D540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8272DA" w:rsidRDefault="0045764A" w:rsidP="001D540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1D540D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1D540D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1D540D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20D" w:rsidRDefault="00BB520D">
      <w:r>
        <w:separator/>
      </w:r>
    </w:p>
  </w:endnote>
  <w:endnote w:type="continuationSeparator" w:id="0">
    <w:p w:rsidR="00BB520D" w:rsidRDefault="00BB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1120E0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20D" w:rsidRDefault="00BB520D">
      <w:r>
        <w:separator/>
      </w:r>
    </w:p>
  </w:footnote>
  <w:footnote w:type="continuationSeparator" w:id="0">
    <w:p w:rsidR="00BB520D" w:rsidRDefault="00BB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1120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CB4536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Lockout</w:t>
          </w:r>
          <w:r w:rsidR="00C2762D">
            <w:rPr>
              <w:rFonts w:ascii="Tahoma" w:hAnsi="Tahoma" w:cs="Tahoma"/>
              <w:sz w:val="22"/>
              <w:szCs w:val="22"/>
            </w:rPr>
            <w:t xml:space="preserve"> and Tagout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CB4536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Electrical Disconnects</w:t>
          </w:r>
          <w:r w:rsidR="00B968EA" w:rsidRPr="00B968EA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1120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2046"/>
    <w:multiLevelType w:val="hybridMultilevel"/>
    <w:tmpl w:val="9A9A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3DEB"/>
    <w:multiLevelType w:val="hybridMultilevel"/>
    <w:tmpl w:val="1E82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BA3698"/>
    <w:multiLevelType w:val="hybridMultilevel"/>
    <w:tmpl w:val="57B8C2AA"/>
    <w:lvl w:ilvl="0" w:tplc="7C86AB1C">
      <w:numFmt w:val="bullet"/>
      <w:lvlText w:val="‒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153D1F"/>
    <w:multiLevelType w:val="hybridMultilevel"/>
    <w:tmpl w:val="0DBC2224"/>
    <w:lvl w:ilvl="0" w:tplc="7C86AB1C">
      <w:numFmt w:val="bullet"/>
      <w:lvlText w:val="‒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535BE1"/>
    <w:multiLevelType w:val="hybridMultilevel"/>
    <w:tmpl w:val="FFC61636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95863"/>
    <w:rsid w:val="000B2B03"/>
    <w:rsid w:val="000B5717"/>
    <w:rsid w:val="000B595F"/>
    <w:rsid w:val="000B7CC5"/>
    <w:rsid w:val="000C63D7"/>
    <w:rsid w:val="000C6488"/>
    <w:rsid w:val="000E3BD9"/>
    <w:rsid w:val="000F7B87"/>
    <w:rsid w:val="00101E99"/>
    <w:rsid w:val="001120E0"/>
    <w:rsid w:val="00125460"/>
    <w:rsid w:val="00134016"/>
    <w:rsid w:val="0015166E"/>
    <w:rsid w:val="00170124"/>
    <w:rsid w:val="00177A03"/>
    <w:rsid w:val="001C2C4B"/>
    <w:rsid w:val="001D540D"/>
    <w:rsid w:val="001E6998"/>
    <w:rsid w:val="00206FD9"/>
    <w:rsid w:val="002075F3"/>
    <w:rsid w:val="00226854"/>
    <w:rsid w:val="0024241C"/>
    <w:rsid w:val="002537E9"/>
    <w:rsid w:val="00262898"/>
    <w:rsid w:val="00265299"/>
    <w:rsid w:val="00272B52"/>
    <w:rsid w:val="00280478"/>
    <w:rsid w:val="0028530C"/>
    <w:rsid w:val="00290252"/>
    <w:rsid w:val="002A21AC"/>
    <w:rsid w:val="002C0256"/>
    <w:rsid w:val="002D27E6"/>
    <w:rsid w:val="002D6590"/>
    <w:rsid w:val="002E66D9"/>
    <w:rsid w:val="00305964"/>
    <w:rsid w:val="003064FA"/>
    <w:rsid w:val="00315F40"/>
    <w:rsid w:val="00322552"/>
    <w:rsid w:val="00330324"/>
    <w:rsid w:val="00335DE1"/>
    <w:rsid w:val="00350477"/>
    <w:rsid w:val="003A477C"/>
    <w:rsid w:val="003B49F1"/>
    <w:rsid w:val="003C136B"/>
    <w:rsid w:val="003C5921"/>
    <w:rsid w:val="003C6631"/>
    <w:rsid w:val="003C727A"/>
    <w:rsid w:val="004115E5"/>
    <w:rsid w:val="00414CE8"/>
    <w:rsid w:val="0041589B"/>
    <w:rsid w:val="00415FF9"/>
    <w:rsid w:val="00421521"/>
    <w:rsid w:val="00427296"/>
    <w:rsid w:val="00432A7C"/>
    <w:rsid w:val="00444465"/>
    <w:rsid w:val="00444BFC"/>
    <w:rsid w:val="00450B9E"/>
    <w:rsid w:val="004533AD"/>
    <w:rsid w:val="0045764A"/>
    <w:rsid w:val="004666A2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A00E0"/>
    <w:rsid w:val="005C64E0"/>
    <w:rsid w:val="005E0F0D"/>
    <w:rsid w:val="005E57EA"/>
    <w:rsid w:val="005F1C74"/>
    <w:rsid w:val="005F6B61"/>
    <w:rsid w:val="0060244B"/>
    <w:rsid w:val="00615D2B"/>
    <w:rsid w:val="00627F76"/>
    <w:rsid w:val="00633E48"/>
    <w:rsid w:val="0065122E"/>
    <w:rsid w:val="00661A2C"/>
    <w:rsid w:val="00670A6F"/>
    <w:rsid w:val="00670ABC"/>
    <w:rsid w:val="00681266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27A04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2DA5"/>
    <w:rsid w:val="007B329D"/>
    <w:rsid w:val="007B63BE"/>
    <w:rsid w:val="007D6F55"/>
    <w:rsid w:val="007F3E26"/>
    <w:rsid w:val="00812B83"/>
    <w:rsid w:val="00823703"/>
    <w:rsid w:val="008272DA"/>
    <w:rsid w:val="00833B6C"/>
    <w:rsid w:val="00841EAC"/>
    <w:rsid w:val="00854C82"/>
    <w:rsid w:val="00873DBA"/>
    <w:rsid w:val="008818F2"/>
    <w:rsid w:val="008918CA"/>
    <w:rsid w:val="008A1945"/>
    <w:rsid w:val="008A372E"/>
    <w:rsid w:val="008B7A72"/>
    <w:rsid w:val="008C0546"/>
    <w:rsid w:val="00910830"/>
    <w:rsid w:val="00926290"/>
    <w:rsid w:val="00931D6B"/>
    <w:rsid w:val="00934757"/>
    <w:rsid w:val="0094297A"/>
    <w:rsid w:val="00945D74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33266"/>
    <w:rsid w:val="00A75770"/>
    <w:rsid w:val="00A81D4B"/>
    <w:rsid w:val="00A84185"/>
    <w:rsid w:val="00A907A9"/>
    <w:rsid w:val="00AA48BC"/>
    <w:rsid w:val="00AB6FBC"/>
    <w:rsid w:val="00AC6A6C"/>
    <w:rsid w:val="00AD0DF2"/>
    <w:rsid w:val="00AE3C61"/>
    <w:rsid w:val="00AE3D93"/>
    <w:rsid w:val="00B01A96"/>
    <w:rsid w:val="00B1132E"/>
    <w:rsid w:val="00B36A6D"/>
    <w:rsid w:val="00B4261E"/>
    <w:rsid w:val="00B469D6"/>
    <w:rsid w:val="00B63803"/>
    <w:rsid w:val="00B73408"/>
    <w:rsid w:val="00B82BF8"/>
    <w:rsid w:val="00B856A7"/>
    <w:rsid w:val="00B8605C"/>
    <w:rsid w:val="00B87F62"/>
    <w:rsid w:val="00B941CE"/>
    <w:rsid w:val="00B955DF"/>
    <w:rsid w:val="00B968EA"/>
    <w:rsid w:val="00BB00D8"/>
    <w:rsid w:val="00BB520D"/>
    <w:rsid w:val="00BC1EF8"/>
    <w:rsid w:val="00BC2238"/>
    <w:rsid w:val="00BC41DA"/>
    <w:rsid w:val="00BE1208"/>
    <w:rsid w:val="00BE1E43"/>
    <w:rsid w:val="00BE578B"/>
    <w:rsid w:val="00C22B8A"/>
    <w:rsid w:val="00C2762D"/>
    <w:rsid w:val="00C47C08"/>
    <w:rsid w:val="00C577D5"/>
    <w:rsid w:val="00C61136"/>
    <w:rsid w:val="00C72B56"/>
    <w:rsid w:val="00C817E4"/>
    <w:rsid w:val="00C8786D"/>
    <w:rsid w:val="00C965C7"/>
    <w:rsid w:val="00CA380D"/>
    <w:rsid w:val="00CB0D44"/>
    <w:rsid w:val="00CB3AC9"/>
    <w:rsid w:val="00CB4536"/>
    <w:rsid w:val="00CC05F1"/>
    <w:rsid w:val="00CD0E0B"/>
    <w:rsid w:val="00CD1603"/>
    <w:rsid w:val="00CD6FCF"/>
    <w:rsid w:val="00CE22A4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44F20"/>
    <w:rsid w:val="00D455CB"/>
    <w:rsid w:val="00D724DC"/>
    <w:rsid w:val="00D72EB8"/>
    <w:rsid w:val="00D87568"/>
    <w:rsid w:val="00DB15E7"/>
    <w:rsid w:val="00DB5362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5649"/>
    <w:rsid w:val="00E20D1F"/>
    <w:rsid w:val="00E30D9E"/>
    <w:rsid w:val="00E65C3C"/>
    <w:rsid w:val="00E667CF"/>
    <w:rsid w:val="00E737B6"/>
    <w:rsid w:val="00E87429"/>
    <w:rsid w:val="00E964DD"/>
    <w:rsid w:val="00EA3DA1"/>
    <w:rsid w:val="00EB17DD"/>
    <w:rsid w:val="00EC7030"/>
    <w:rsid w:val="00ED2FE2"/>
    <w:rsid w:val="00EE0067"/>
    <w:rsid w:val="00EE0DCC"/>
    <w:rsid w:val="00F03185"/>
    <w:rsid w:val="00F068B0"/>
    <w:rsid w:val="00F200EA"/>
    <w:rsid w:val="00F25E11"/>
    <w:rsid w:val="00F26F68"/>
    <w:rsid w:val="00F41775"/>
    <w:rsid w:val="00F4315C"/>
    <w:rsid w:val="00F44011"/>
    <w:rsid w:val="00F52C82"/>
    <w:rsid w:val="00F5580E"/>
    <w:rsid w:val="00F57D15"/>
    <w:rsid w:val="00F6041B"/>
    <w:rsid w:val="00F6127F"/>
    <w:rsid w:val="00F73AB4"/>
    <w:rsid w:val="00F8599D"/>
    <w:rsid w:val="00F94A53"/>
    <w:rsid w:val="00FA114D"/>
    <w:rsid w:val="00FA5FA3"/>
    <w:rsid w:val="00FC23F0"/>
    <w:rsid w:val="00FC3083"/>
    <w:rsid w:val="00FD233C"/>
    <w:rsid w:val="00FE4BE3"/>
    <w:rsid w:val="00FE4E97"/>
    <w:rsid w:val="00FF367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B74B9EF7-2B20-4EDE-A9E0-7F3DE36E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0BB9-546E-42BB-AD58-CF73E714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Hillarie Thomas</cp:lastModifiedBy>
  <cp:revision>1</cp:revision>
  <cp:lastPrinted>2014-12-17T00:20:00Z</cp:lastPrinted>
  <dcterms:created xsi:type="dcterms:W3CDTF">2015-10-25T19:22:00Z</dcterms:created>
  <dcterms:modified xsi:type="dcterms:W3CDTF">2018-02-16T00:46:00Z</dcterms:modified>
</cp:coreProperties>
</file>