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BC0D44" w:rsidRDefault="002C0256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BC0D44">
        <w:rPr>
          <w:rFonts w:ascii="Tahoma" w:hAnsi="Tahoma"/>
          <w:b/>
          <w:sz w:val="22"/>
          <w:lang w:val="es-AR"/>
        </w:rPr>
        <w:t xml:space="preserve">Objetivo: </w:t>
      </w:r>
      <w:r w:rsidRPr="00BC0D44">
        <w:rPr>
          <w:rFonts w:ascii="Tahoma" w:hAnsi="Tahoma"/>
          <w:sz w:val="22"/>
          <w:lang w:val="es-AR"/>
        </w:rPr>
        <w:t>Garantizar que se entiendan los métodos adecuados sobre</w:t>
      </w:r>
      <w:r w:rsidR="00C56A40" w:rsidRPr="00BC0D44">
        <w:rPr>
          <w:rFonts w:ascii="Tahoma" w:hAnsi="Tahoma"/>
          <w:sz w:val="22"/>
          <w:lang w:val="es-AR"/>
        </w:rPr>
        <w:t xml:space="preserve"> la</w:t>
      </w:r>
      <w:r w:rsidRPr="00BC0D44">
        <w:rPr>
          <w:rFonts w:ascii="Tahoma" w:hAnsi="Tahoma"/>
          <w:sz w:val="22"/>
          <w:lang w:val="es-AR"/>
        </w:rPr>
        <w:t xml:space="preserve"> manipulación y almacenamiento de cilindros de gas comprimido y que sean utilizados por todos los empleados</w:t>
      </w:r>
    </w:p>
    <w:p w:rsidR="002C0256" w:rsidRPr="00BC0D44" w:rsidRDefault="002C0256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BC0D44" w:rsidRDefault="00FF1A4F" w:rsidP="0065521D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B0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Pr="00BC0D44" w:rsidRDefault="00E964DD" w:rsidP="0065521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E964DD" w:rsidRPr="00BC0D44" w:rsidRDefault="00E964DD" w:rsidP="0065521D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BD76C2" w:rsidRPr="00BC0D44" w:rsidRDefault="00B860F5" w:rsidP="00472F90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  <w:lang w:val="es-AR"/>
        </w:rPr>
      </w:pPr>
      <w:r w:rsidRPr="00BC0D44">
        <w:rPr>
          <w:rFonts w:ascii="Tahoma" w:hAnsi="Tahoma"/>
          <w:color w:val="000000"/>
          <w:sz w:val="22"/>
          <w:lang w:val="es-AR"/>
        </w:rPr>
        <w:t xml:space="preserve">Es necesario tener cuidado cuando se manipulan, transportan y almacenan cilindros de gas comprimido para reducir las probabilidades de que el contenido se </w:t>
      </w:r>
      <w:r w:rsidR="00C56A40" w:rsidRPr="00BC0D44">
        <w:rPr>
          <w:rFonts w:ascii="Tahoma" w:hAnsi="Tahoma"/>
          <w:color w:val="000000"/>
          <w:sz w:val="22"/>
          <w:lang w:val="es-AR"/>
        </w:rPr>
        <w:t>fugue</w:t>
      </w:r>
      <w:r w:rsidRPr="00BC0D44">
        <w:rPr>
          <w:rFonts w:ascii="Tahoma" w:hAnsi="Tahoma"/>
          <w:color w:val="000000"/>
          <w:sz w:val="22"/>
          <w:lang w:val="es-AR"/>
        </w:rPr>
        <w:t>. Siga estas prácticas recomendadas para asegurarse de que usted, sus compañeros de trabajo y el sitio de trabajo permanezcan seguros.</w:t>
      </w:r>
    </w:p>
    <w:p w:rsidR="00AF1B7B" w:rsidRPr="00BC0D44" w:rsidRDefault="0033735C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BC0D44">
        <w:rPr>
          <w:rFonts w:ascii="Tahoma" w:hAnsi="Tahoma" w:cs="Tahoma"/>
          <w:b/>
          <w:noProof/>
          <w:color w:val="315CA3"/>
          <w:sz w:val="28"/>
          <w:szCs w:val="28"/>
          <w:lang w:val="en-US" w:eastAsia="en-US" w:bidi="ar-SA"/>
        </w:rPr>
        <w:drawing>
          <wp:anchor distT="0" distB="0" distL="182880" distR="114300" simplePos="0" relativeHeight="251669504" behindDoc="0" locked="0" layoutInCell="1" allowOverlap="1">
            <wp:simplePos x="0" y="0"/>
            <wp:positionH relativeFrom="margin">
              <wp:posOffset>3365500</wp:posOffset>
            </wp:positionH>
            <wp:positionV relativeFrom="paragraph">
              <wp:posOffset>4022</wp:posOffset>
            </wp:positionV>
            <wp:extent cx="2578608" cy="1719072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C0D44">
        <w:rPr>
          <w:rFonts w:ascii="Tahoma" w:hAnsi="Tahoma"/>
          <w:b/>
          <w:color w:val="315CA3"/>
          <w:sz w:val="28"/>
          <w:lang w:val="es-AR"/>
        </w:rPr>
        <w:t>Manipulación</w:t>
      </w:r>
    </w:p>
    <w:p w:rsidR="004F18C9" w:rsidRPr="00BC0D44" w:rsidRDefault="00B76A11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Complete toda la capacitación requerida antes de manipular o usar cilindros de gas comprimido.</w:t>
      </w:r>
    </w:p>
    <w:p w:rsidR="00B860F5" w:rsidRPr="00BC0D44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Mantenga los cilindros asegurados en posición vertical en todo momento, incluso durante su uso.</w:t>
      </w:r>
    </w:p>
    <w:p w:rsidR="00B860F5" w:rsidRPr="00BC0D44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No golpee los cilindros contra otros cilindros o superficies.</w:t>
      </w:r>
    </w:p>
    <w:p w:rsidR="00B860F5" w:rsidRPr="00BC0D44" w:rsidRDefault="00B860F5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No exponga los cilindros a circuitos eléctricos, </w:t>
      </w:r>
      <w:r w:rsidR="00BC0D44">
        <w:rPr>
          <w:rFonts w:ascii="Tahoma" w:hAnsi="Tahoma"/>
          <w:sz w:val="22"/>
          <w:lang w:val="es-AR"/>
        </w:rPr>
        <w:t xml:space="preserve">no </w:t>
      </w:r>
      <w:r w:rsidRPr="00BC0D44">
        <w:rPr>
          <w:rFonts w:ascii="Tahoma" w:hAnsi="Tahoma"/>
          <w:sz w:val="22"/>
          <w:lang w:val="es-AR"/>
        </w:rPr>
        <w:t>use un cilindro como puesta a tierra</w:t>
      </w:r>
      <w:r w:rsidR="00BC0D44">
        <w:rPr>
          <w:rFonts w:ascii="Tahoma" w:hAnsi="Tahoma"/>
          <w:sz w:val="22"/>
          <w:lang w:val="es-AR"/>
        </w:rPr>
        <w:t xml:space="preserve"> cuando suelde con electricidad,</w:t>
      </w:r>
      <w:r w:rsidRPr="00BC0D44">
        <w:rPr>
          <w:rFonts w:ascii="Tahoma" w:hAnsi="Tahoma"/>
          <w:sz w:val="22"/>
          <w:lang w:val="es-AR"/>
        </w:rPr>
        <w:t xml:space="preserve"> </w:t>
      </w:r>
      <w:r w:rsidR="00BC0D44">
        <w:rPr>
          <w:rFonts w:ascii="Tahoma" w:hAnsi="Tahoma"/>
          <w:sz w:val="22"/>
          <w:lang w:val="es-AR"/>
        </w:rPr>
        <w:t>ni</w:t>
      </w:r>
      <w:r w:rsidRPr="00BC0D44">
        <w:rPr>
          <w:rFonts w:ascii="Tahoma" w:hAnsi="Tahoma"/>
          <w:sz w:val="22"/>
          <w:lang w:val="es-AR"/>
        </w:rPr>
        <w:t xml:space="preserve"> coloque un electrodo contra un cilindro cuando suelde con un arco.</w:t>
      </w:r>
    </w:p>
    <w:p w:rsidR="009D650B" w:rsidRPr="00BC0D44" w:rsidRDefault="00B76A11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Nunca debe colocar los cilindros cerca de fuentes de ignición.</w:t>
      </w:r>
    </w:p>
    <w:p w:rsidR="00B860F5" w:rsidRPr="00BC0D44" w:rsidRDefault="005255C0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Nunca debe utilizar los cilindros para otras tareas que no tengan que ver con el uso previsto. Por ejemplo, no los use como rodillos o soportes.</w:t>
      </w:r>
    </w:p>
    <w:p w:rsidR="00B76A11" w:rsidRPr="00BC0D44" w:rsidRDefault="00382162" w:rsidP="00472F90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No vuelva a llenar los cilindros. </w:t>
      </w:r>
    </w:p>
    <w:p w:rsidR="00000709" w:rsidRPr="00BC0D44" w:rsidRDefault="00000709" w:rsidP="0033735C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BC0D44">
        <w:rPr>
          <w:rFonts w:ascii="Tahoma" w:hAnsi="Tahoma"/>
          <w:b/>
          <w:color w:val="315CA3"/>
          <w:sz w:val="28"/>
          <w:lang w:val="es-AR"/>
        </w:rPr>
        <w:t>Comunicación de peligros</w:t>
      </w:r>
    </w:p>
    <w:p w:rsidR="00FF1A4F" w:rsidRDefault="00000709" w:rsidP="00FF1A4F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Familiarícese con las etiquetas o la señalización ubicadas en las áreas de almacenamiento o trabajo, o en los cilindros, que comunican los peligros.</w:t>
      </w:r>
    </w:p>
    <w:p w:rsidR="00FF1A4F" w:rsidRPr="00FF1A4F" w:rsidRDefault="00FF1A4F" w:rsidP="00FF1A4F">
      <w:pPr>
        <w:pStyle w:val="NormalWeb"/>
        <w:spacing w:before="120" w:beforeAutospacing="0" w:line="276" w:lineRule="auto"/>
        <w:ind w:left="450"/>
        <w:rPr>
          <w:rFonts w:ascii="Tahoma" w:hAnsi="Tahoma" w:cs="Tahoma"/>
          <w:sz w:val="22"/>
          <w:szCs w:val="22"/>
          <w:lang w:val="es-AR"/>
        </w:rPr>
      </w:pPr>
    </w:p>
    <w:p w:rsidR="0080782A" w:rsidRPr="00FF1A4F" w:rsidRDefault="00004303" w:rsidP="00FF1A4F">
      <w:pPr>
        <w:pStyle w:val="NormalWeb"/>
        <w:numPr>
          <w:ilvl w:val="0"/>
          <w:numId w:val="1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lastRenderedPageBreak/>
        <w:t xml:space="preserve">Asegúrese de que los cilindros tengan las etiquetas de cumplimiento con el Sistema </w:t>
      </w:r>
      <w:r w:rsidR="006F047D" w:rsidRPr="00BC0D44">
        <w:rPr>
          <w:rFonts w:ascii="Tahoma" w:hAnsi="Tahoma"/>
          <w:sz w:val="22"/>
          <w:lang w:val="es-AR"/>
        </w:rPr>
        <w:t>Globalmente Armonizado de Clasificación y Etiquetado de Productos Químicos</w:t>
      </w:r>
      <w:r w:rsidRPr="00BC0D44">
        <w:rPr>
          <w:rFonts w:ascii="Tahoma" w:hAnsi="Tahoma"/>
          <w:sz w:val="22"/>
          <w:lang w:val="es-AR"/>
        </w:rPr>
        <w:t xml:space="preserve"> (GHS</w:t>
      </w:r>
      <w:r w:rsidR="006F047D" w:rsidRPr="00BC0D44">
        <w:rPr>
          <w:rFonts w:ascii="Tahoma" w:hAnsi="Tahoma"/>
          <w:sz w:val="22"/>
          <w:lang w:val="es-AR"/>
        </w:rPr>
        <w:t>, por sus siglas en inglés</w:t>
      </w:r>
      <w:r w:rsidRPr="00BC0D44">
        <w:rPr>
          <w:rFonts w:ascii="Tahoma" w:hAnsi="Tahoma"/>
          <w:sz w:val="22"/>
          <w:lang w:val="es-AR"/>
        </w:rPr>
        <w:t xml:space="preserve">) correspondientes que identifiquen el contenido y clasifiquen los peligros. </w:t>
      </w:r>
      <w:r w:rsidR="004D0A48" w:rsidRPr="00BC0D44">
        <w:rPr>
          <w:rFonts w:ascii="Tahoma" w:hAnsi="Tahoma"/>
          <w:b/>
          <w:sz w:val="22"/>
          <w:lang w:val="es-AR"/>
        </w:rPr>
        <w:t>No use los</w:t>
      </w:r>
      <w:r w:rsidRPr="00BC0D44">
        <w:rPr>
          <w:rFonts w:ascii="Tahoma" w:hAnsi="Tahoma"/>
          <w:b/>
          <w:sz w:val="22"/>
          <w:lang w:val="es-AR"/>
        </w:rPr>
        <w:t xml:space="preserve"> cilindros que no </w:t>
      </w:r>
      <w:r w:rsidR="006F047D" w:rsidRPr="00BC0D44">
        <w:rPr>
          <w:rFonts w:ascii="Tahoma" w:hAnsi="Tahoma"/>
          <w:b/>
          <w:sz w:val="22"/>
          <w:lang w:val="es-AR"/>
        </w:rPr>
        <w:t>estén claramente marcados con su</w:t>
      </w:r>
      <w:r w:rsidRPr="00BC0D44">
        <w:rPr>
          <w:rFonts w:ascii="Tahoma" w:hAnsi="Tahoma"/>
          <w:b/>
          <w:sz w:val="22"/>
          <w:lang w:val="es-AR"/>
        </w:rPr>
        <w:t xml:space="preserve"> contenido o los peligros.</w:t>
      </w:r>
    </w:p>
    <w:p w:rsidR="00CC05F1" w:rsidRPr="00BC0D44" w:rsidRDefault="00B860F5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BC0D44">
        <w:rPr>
          <w:rFonts w:ascii="Tahoma" w:hAnsi="Tahoma"/>
          <w:b/>
          <w:color w:val="315CA3"/>
          <w:sz w:val="28"/>
          <w:lang w:val="es-AR"/>
        </w:rPr>
        <w:t>Transporte</w:t>
      </w:r>
    </w:p>
    <w:p w:rsidR="003D2C73" w:rsidRPr="00BC0D44" w:rsidRDefault="003D2C73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b/>
          <w:lang w:val="es-AR"/>
        </w:rPr>
        <w:t>Antes de trasladar los cilindros:</w:t>
      </w:r>
    </w:p>
    <w:p w:rsidR="002A569A" w:rsidRPr="00BC0D44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No mueva los cilindros sin una autorización adecuada.</w:t>
      </w:r>
    </w:p>
    <w:p w:rsidR="00B860F5" w:rsidRPr="00BC0D44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Verifique el contenido de los cilindros y lea las hojas informativa</w:t>
      </w:r>
      <w:r w:rsidR="004D0A48" w:rsidRPr="00BC0D44">
        <w:rPr>
          <w:rFonts w:ascii="Tahoma" w:hAnsi="Tahoma"/>
          <w:lang w:val="es-AR"/>
        </w:rPr>
        <w:t>s de seguridad (SDS, por sus siglas en inglés) sobre los requisitos</w:t>
      </w:r>
      <w:r w:rsidRPr="00BC0D44">
        <w:rPr>
          <w:rFonts w:ascii="Tahoma" w:hAnsi="Tahoma"/>
          <w:lang w:val="es-AR"/>
        </w:rPr>
        <w:t xml:space="preserve"> de manipulación.</w:t>
      </w:r>
    </w:p>
    <w:p w:rsidR="00B860F5" w:rsidRPr="00BC0D44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Cierre las válvulas, purgue las tuberías, retire los reguladores y reemplace las tapas de seguridad de las válvulas antes de moverlos.</w:t>
      </w:r>
    </w:p>
    <w:p w:rsidR="00B32C29" w:rsidRPr="00BC0D44" w:rsidRDefault="00B860F5" w:rsidP="00472F90">
      <w:pPr>
        <w:pStyle w:val="ColorfulList-Accent11"/>
        <w:numPr>
          <w:ilvl w:val="0"/>
          <w:numId w:val="2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Asegúrese de que la ruta planificada esté libre de obstáculos.</w:t>
      </w:r>
    </w:p>
    <w:p w:rsidR="003D2C73" w:rsidRPr="00BC0D44" w:rsidRDefault="00B32C29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b/>
          <w:lang w:val="es-AR"/>
        </w:rPr>
        <w:t>Durante el traslado de cilindros:</w:t>
      </w:r>
    </w:p>
    <w:p w:rsidR="003D2C73" w:rsidRPr="00BC0D44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Use un carro diseñado para tal fin.</w:t>
      </w:r>
    </w:p>
    <w:p w:rsidR="003D2C73" w:rsidRPr="00BC0D44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Use una cadena para asegurarlos al carro.</w:t>
      </w:r>
    </w:p>
    <w:p w:rsidR="003D2C73" w:rsidRPr="00BC0D44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Permanezca en los lugares designados.</w:t>
      </w:r>
    </w:p>
    <w:p w:rsidR="003D2C73" w:rsidRPr="00BC0D44" w:rsidRDefault="003D2C73" w:rsidP="00472F90">
      <w:pPr>
        <w:pStyle w:val="ColorfulList-Accent11"/>
        <w:numPr>
          <w:ilvl w:val="0"/>
          <w:numId w:val="3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Nunca deje los cilindros en posición horizontal ni los haga rodar con las manos.</w:t>
      </w:r>
    </w:p>
    <w:p w:rsidR="00B32C29" w:rsidRPr="00BC0D44" w:rsidRDefault="00B32C29" w:rsidP="00472F90">
      <w:pPr>
        <w:pStyle w:val="ColorfulList-Accent11"/>
        <w:spacing w:before="120" w:after="100" w:afterAutospacing="1" w:line="240" w:lineRule="auto"/>
        <w:ind w:left="0"/>
        <w:contextualSpacing w:val="0"/>
        <w:rPr>
          <w:rFonts w:ascii="Tahoma" w:hAnsi="Tahoma" w:cs="Tahoma"/>
          <w:b/>
          <w:lang w:val="es-AR"/>
        </w:rPr>
      </w:pPr>
      <w:r w:rsidRPr="00BC0D44">
        <w:rPr>
          <w:rFonts w:ascii="Tahoma" w:hAnsi="Tahoma"/>
          <w:b/>
          <w:lang w:val="es-AR"/>
        </w:rPr>
        <w:t>Durante el levantamiento de cilindros:</w:t>
      </w:r>
    </w:p>
    <w:p w:rsidR="00B32C29" w:rsidRPr="00BC0D44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Asegúrese de usar los accesorios para levantar cilindros que correspondan y de que estos estén asegurados de manera apropiada.</w:t>
      </w:r>
    </w:p>
    <w:p w:rsidR="00B32C29" w:rsidRPr="00BC0D44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No levante los cilindros desde sus tapas o con imanes.</w:t>
      </w:r>
    </w:p>
    <w:p w:rsidR="00B32C29" w:rsidRPr="00BC0D44" w:rsidRDefault="00B32C29" w:rsidP="00472F90">
      <w:pPr>
        <w:pStyle w:val="ColorfulList-Accent11"/>
        <w:numPr>
          <w:ilvl w:val="0"/>
          <w:numId w:val="5"/>
        </w:numPr>
        <w:spacing w:before="120" w:after="100" w:afterAutospacing="1"/>
        <w:ind w:left="450" w:hanging="450"/>
        <w:contextualSpacing w:val="0"/>
        <w:rPr>
          <w:rFonts w:ascii="Tahoma" w:hAnsi="Tahoma" w:cs="Tahoma"/>
          <w:lang w:val="es-AR"/>
        </w:rPr>
      </w:pPr>
      <w:r w:rsidRPr="00BC0D44">
        <w:rPr>
          <w:rFonts w:ascii="Tahoma" w:hAnsi="Tahoma"/>
          <w:lang w:val="es-AR"/>
        </w:rPr>
        <w:t>No deje caer los cilindros desde ninguna altura.</w:t>
      </w:r>
    </w:p>
    <w:p w:rsidR="00FF1A4F" w:rsidRDefault="00FF1A4F" w:rsidP="00472F90">
      <w:pPr>
        <w:pStyle w:val="NormalWeb"/>
        <w:spacing w:before="240" w:beforeAutospacing="0" w:line="276" w:lineRule="auto"/>
        <w:rPr>
          <w:rFonts w:ascii="Tahoma" w:hAnsi="Tahoma"/>
          <w:b/>
          <w:color w:val="315CA3"/>
          <w:sz w:val="28"/>
          <w:lang w:val="es-AR"/>
        </w:rPr>
      </w:pPr>
    </w:p>
    <w:p w:rsidR="00FF1A4F" w:rsidRDefault="00FF1A4F" w:rsidP="00472F90">
      <w:pPr>
        <w:pStyle w:val="NormalWeb"/>
        <w:spacing w:before="240" w:beforeAutospacing="0" w:line="276" w:lineRule="auto"/>
        <w:rPr>
          <w:rFonts w:ascii="Tahoma" w:hAnsi="Tahoma"/>
          <w:b/>
          <w:color w:val="315CA3"/>
          <w:sz w:val="28"/>
          <w:lang w:val="es-AR"/>
        </w:rPr>
      </w:pPr>
    </w:p>
    <w:p w:rsidR="00B87F62" w:rsidRPr="00BC0D44" w:rsidRDefault="003D2C73" w:rsidP="00472F90">
      <w:pPr>
        <w:pStyle w:val="NormalWeb"/>
        <w:spacing w:before="240" w:beforeAutospacing="0" w:line="276" w:lineRule="auto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BC0D44">
        <w:rPr>
          <w:rFonts w:ascii="Tahoma" w:hAnsi="Tahoma"/>
          <w:b/>
          <w:color w:val="315CA3"/>
          <w:sz w:val="28"/>
          <w:lang w:val="es-AR"/>
        </w:rPr>
        <w:lastRenderedPageBreak/>
        <w:t>Almacenamiento</w:t>
      </w:r>
    </w:p>
    <w:p w:rsidR="003D2C73" w:rsidRPr="00BC0D44" w:rsidRDefault="003D2C73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Mantenga las áreas de almacenamiento frías, secas, bien ventiladas y protegidas de los peligros </w:t>
      </w:r>
      <w:r w:rsidR="004D0A48" w:rsidRPr="00BC0D44">
        <w:rPr>
          <w:rFonts w:ascii="Tahoma" w:hAnsi="Tahoma"/>
          <w:sz w:val="22"/>
          <w:lang w:val="es-AR"/>
        </w:rPr>
        <w:t>identificables.</w:t>
      </w:r>
    </w:p>
    <w:p w:rsidR="002A3C26" w:rsidRPr="00BC0D44" w:rsidRDefault="002A3C2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Si guarda cilindros en espacios externos, asegúrese de que estén protegidos adecuadamente de los rayos del sol directos y de las temperaturas calientes y frías extremas, según sea necesario.</w:t>
      </w:r>
    </w:p>
    <w:p w:rsidR="003D2C73" w:rsidRPr="00BC0D44" w:rsidRDefault="003D2C73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Limite el acceso </w:t>
      </w:r>
      <w:r w:rsidR="004D0A48" w:rsidRPr="00BC0D44">
        <w:rPr>
          <w:rFonts w:ascii="Tahoma" w:hAnsi="Tahoma"/>
          <w:sz w:val="22"/>
          <w:lang w:val="es-AR"/>
        </w:rPr>
        <w:t>a</w:t>
      </w:r>
      <w:r w:rsidRPr="00BC0D44">
        <w:rPr>
          <w:rFonts w:ascii="Tahoma" w:hAnsi="Tahoma"/>
          <w:sz w:val="22"/>
          <w:lang w:val="es-AR"/>
        </w:rPr>
        <w:t xml:space="preserve"> las personas autorizadas y capacitadas.</w:t>
      </w:r>
    </w:p>
    <w:p w:rsidR="00F36196" w:rsidRPr="00BC0D44" w:rsidRDefault="00F3619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Ubique las áreas de almacenamiento a por lo menos 20 pies de escaleras, pasillos, </w:t>
      </w:r>
      <w:r w:rsidR="004D0A48" w:rsidRPr="00BC0D44">
        <w:rPr>
          <w:rFonts w:ascii="Tahoma" w:hAnsi="Tahoma"/>
          <w:sz w:val="22"/>
          <w:lang w:val="es-AR"/>
        </w:rPr>
        <w:t xml:space="preserve">ascensores </w:t>
      </w:r>
      <w:r w:rsidRPr="00BC0D44">
        <w:rPr>
          <w:rFonts w:ascii="Tahoma" w:hAnsi="Tahoma"/>
          <w:sz w:val="22"/>
          <w:lang w:val="es-AR"/>
        </w:rPr>
        <w:t>y materiales combustibles e inflamables.</w:t>
      </w:r>
    </w:p>
    <w:p w:rsidR="00F36196" w:rsidRPr="00BC0D44" w:rsidRDefault="00F36196" w:rsidP="00472F90">
      <w:pPr>
        <w:pStyle w:val="ListParagraph"/>
        <w:numPr>
          <w:ilvl w:val="0"/>
          <w:numId w:val="4"/>
        </w:numPr>
        <w:spacing w:before="120" w:after="100" w:afterAutospacing="1" w:line="276" w:lineRule="auto"/>
        <w:ind w:left="450" w:hanging="450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 xml:space="preserve">Asegúrese de que los cilindros con contenido incompatible (como </w:t>
      </w:r>
      <w:r w:rsidR="004D0A48" w:rsidRPr="00BC0D44">
        <w:rPr>
          <w:rFonts w:ascii="Tahoma" w:hAnsi="Tahoma"/>
          <w:sz w:val="22"/>
          <w:lang w:val="es-AR"/>
        </w:rPr>
        <w:t xml:space="preserve">sustancias oxidantes e </w:t>
      </w:r>
      <w:r w:rsidRPr="00BC0D44">
        <w:rPr>
          <w:rFonts w:ascii="Tahoma" w:hAnsi="Tahoma"/>
          <w:sz w:val="22"/>
          <w:lang w:val="es-AR"/>
        </w:rPr>
        <w:t xml:space="preserve">inflamables) estén separados por lo menos </w:t>
      </w:r>
      <w:r w:rsidR="004D0A48" w:rsidRPr="00BC0D44">
        <w:rPr>
          <w:rFonts w:ascii="Tahoma" w:hAnsi="Tahoma"/>
          <w:sz w:val="22"/>
          <w:lang w:val="es-AR"/>
        </w:rPr>
        <w:t xml:space="preserve">a </w:t>
      </w:r>
      <w:r w:rsidRPr="00BC0D44">
        <w:rPr>
          <w:rFonts w:ascii="Tahoma" w:hAnsi="Tahoma"/>
          <w:sz w:val="22"/>
          <w:lang w:val="es-AR"/>
        </w:rPr>
        <w:t>20 pies o mediante una barrera aprobada resistente al fuego.</w:t>
      </w:r>
    </w:p>
    <w:p w:rsidR="009D650B" w:rsidRPr="00BC0D44" w:rsidRDefault="009D650B" w:rsidP="00472F90">
      <w:pPr>
        <w:pStyle w:val="NormalWeb"/>
        <w:numPr>
          <w:ilvl w:val="0"/>
          <w:numId w:val="4"/>
        </w:numPr>
        <w:spacing w:before="120" w:beforeAutospacing="0" w:line="276" w:lineRule="auto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BC0D44">
        <w:rPr>
          <w:rFonts w:ascii="Tahoma" w:hAnsi="Tahoma"/>
          <w:sz w:val="22"/>
          <w:lang w:val="es-AR"/>
        </w:rPr>
        <w:t>Nunca guarde cilindros en espacios confinados.</w:t>
      </w:r>
    </w:p>
    <w:p w:rsidR="0045764A" w:rsidRDefault="0045764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Default="0080782A" w:rsidP="0065521D">
      <w:pPr>
        <w:jc w:val="both"/>
        <w:rPr>
          <w:rFonts w:ascii="Tahoma" w:hAnsi="Tahoma"/>
          <w:color w:val="E7E6E6" w:themeColor="background2"/>
          <w:sz w:val="22"/>
          <w:lang w:val="es-AR"/>
        </w:rPr>
      </w:pPr>
    </w:p>
    <w:p w:rsidR="0080782A" w:rsidRPr="0080782A" w:rsidRDefault="0080782A" w:rsidP="0080782A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80782A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80782A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80782A">
        <w:rPr>
          <w:rFonts w:ascii="Tahoma" w:hAnsi="Tahoma" w:cs="Tahoma"/>
          <w:sz w:val="22"/>
          <w:lang w:val="es-AR"/>
        </w:rPr>
        <w:t>Organización:</w:t>
      </w:r>
      <w:r w:rsidRPr="0080782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lang w:val="es-AR"/>
        </w:rPr>
        <w:t>Fecha:</w:t>
      </w:r>
      <w:r w:rsidRPr="0080782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80782A">
        <w:rPr>
          <w:rFonts w:ascii="Tahoma" w:hAnsi="Tahoma" w:cs="Tahoma"/>
          <w:sz w:val="22"/>
          <w:lang w:val="es-AR"/>
        </w:rPr>
        <w:t>Instructor:</w:t>
      </w:r>
      <w:r w:rsidRPr="0080782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lang w:val="es-AR"/>
        </w:rPr>
        <w:t>Firma del instructor:</w:t>
      </w:r>
      <w:r w:rsidRPr="0080782A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  <w:r w:rsidRPr="0080782A">
        <w:rPr>
          <w:rFonts w:ascii="Tahoma" w:hAnsi="Tahoma" w:cs="Tahoma"/>
          <w:lang w:val="es-AR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80782A">
        <w:rPr>
          <w:rFonts w:ascii="Tahoma" w:hAnsi="Tahoma" w:cs="Tahoma"/>
          <w:b/>
          <w:sz w:val="22"/>
          <w:lang w:val="es-AR"/>
        </w:rPr>
        <w:t>Participantes de la clase:</w:t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80782A">
        <w:rPr>
          <w:rFonts w:ascii="Tahoma" w:hAnsi="Tahoma" w:cs="Tahoma"/>
          <w:sz w:val="22"/>
          <w:szCs w:val="22"/>
        </w:rPr>
        <w:t>Nombre: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>Firma: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</w:rPr>
        <w:t xml:space="preserve"> Fecha:</w:t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  <w:r w:rsidRPr="0080782A">
        <w:rPr>
          <w:rFonts w:ascii="Tahoma" w:hAnsi="Tahoma" w:cs="Tahoma"/>
          <w:sz w:val="22"/>
          <w:szCs w:val="22"/>
          <w:u w:val="single"/>
        </w:rPr>
        <w:tab/>
      </w:r>
    </w:p>
    <w:p w:rsidR="0080782A" w:rsidRPr="0080782A" w:rsidRDefault="0080782A" w:rsidP="0080782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80782A" w:rsidRPr="0080782A" w:rsidRDefault="0080782A" w:rsidP="0080782A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80782A" w:rsidRPr="0080782A" w:rsidSect="003130E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38" w:rsidRDefault="00076338">
      <w:r>
        <w:separator/>
      </w:r>
    </w:p>
  </w:endnote>
  <w:endnote w:type="continuationSeparator" w:id="0">
    <w:p w:rsidR="00076338" w:rsidRDefault="00076338">
      <w:r>
        <w:continuationSeparator/>
      </w:r>
    </w:p>
  </w:endnote>
  <w:endnote w:type="continuationNotice" w:id="1">
    <w:p w:rsidR="00076338" w:rsidRDefault="00076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D24A3A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F1A4F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38" w:rsidRDefault="00076338">
      <w:r>
        <w:separator/>
      </w:r>
    </w:p>
  </w:footnote>
  <w:footnote w:type="continuationSeparator" w:id="0">
    <w:p w:rsidR="00076338" w:rsidRDefault="00076338">
      <w:r>
        <w:continuationSeparator/>
      </w:r>
    </w:p>
  </w:footnote>
  <w:footnote w:type="continuationNotice" w:id="1">
    <w:p w:rsidR="00076338" w:rsidRDefault="00076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F1A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472F90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5D2BAC" w:rsidP="0065521D">
          <w:pPr>
            <w:pStyle w:val="NormalWeb"/>
            <w:tabs>
              <w:tab w:val="left" w:pos="4320"/>
            </w:tabs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Seguridad del cilindro de gas comprimido</w:t>
          </w:r>
          <w:r>
            <w:tab/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65521D" w:rsidRPr="001B1D0E" w:rsidTr="00472F90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65521D" w:rsidRPr="001B1D0E" w:rsidRDefault="0065521D" w:rsidP="00B254F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/>
              <w:b/>
              <w:color w:val="DA5500"/>
              <w:sz w:val="40"/>
            </w:rPr>
            <w:t>Manipulación y almacenamiento</w:t>
          </w:r>
        </w:p>
      </w:tc>
    </w:tr>
  </w:tbl>
  <w:p w:rsidR="00B968EA" w:rsidRPr="002C0256" w:rsidRDefault="00A907A9" w:rsidP="0065521D">
    <w:pPr>
      <w:pStyle w:val="Header"/>
      <w:tabs>
        <w:tab w:val="clear" w:pos="4320"/>
        <w:tab w:val="clear" w:pos="8640"/>
        <w:tab w:val="left" w:pos="1628"/>
        <w:tab w:val="left" w:pos="6150"/>
      </w:tabs>
      <w:ind w:right="-1440"/>
      <w:rPr>
        <w:sz w:val="24"/>
        <w:szCs w:val="24"/>
      </w:rPr>
    </w:pPr>
    <w:r>
      <w:tab/>
    </w: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F1A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60F6"/>
    <w:multiLevelType w:val="hybridMultilevel"/>
    <w:tmpl w:val="F69AF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B1437"/>
    <w:multiLevelType w:val="hybridMultilevel"/>
    <w:tmpl w:val="47BC7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5C0084"/>
    <w:multiLevelType w:val="hybridMultilevel"/>
    <w:tmpl w:val="F98E7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D1CCA"/>
    <w:multiLevelType w:val="hybridMultilevel"/>
    <w:tmpl w:val="6EFC3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D52AD"/>
    <w:multiLevelType w:val="hybridMultilevel"/>
    <w:tmpl w:val="E0D25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0709"/>
    <w:rsid w:val="00004303"/>
    <w:rsid w:val="00004471"/>
    <w:rsid w:val="00011004"/>
    <w:rsid w:val="00030255"/>
    <w:rsid w:val="00050535"/>
    <w:rsid w:val="00066622"/>
    <w:rsid w:val="00076338"/>
    <w:rsid w:val="00080B9E"/>
    <w:rsid w:val="000B2B03"/>
    <w:rsid w:val="000B595F"/>
    <w:rsid w:val="000B7CC5"/>
    <w:rsid w:val="000C63D7"/>
    <w:rsid w:val="000C6488"/>
    <w:rsid w:val="000E3BD9"/>
    <w:rsid w:val="000E7F07"/>
    <w:rsid w:val="000F7B87"/>
    <w:rsid w:val="00101E99"/>
    <w:rsid w:val="00125460"/>
    <w:rsid w:val="00134016"/>
    <w:rsid w:val="0015166E"/>
    <w:rsid w:val="00170124"/>
    <w:rsid w:val="00177A03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A2B77"/>
    <w:rsid w:val="002A3C26"/>
    <w:rsid w:val="002A569A"/>
    <w:rsid w:val="002C0256"/>
    <w:rsid w:val="002D6590"/>
    <w:rsid w:val="002E66D9"/>
    <w:rsid w:val="00300821"/>
    <w:rsid w:val="00305964"/>
    <w:rsid w:val="003130E6"/>
    <w:rsid w:val="00315F40"/>
    <w:rsid w:val="00322552"/>
    <w:rsid w:val="00330324"/>
    <w:rsid w:val="00335DE1"/>
    <w:rsid w:val="0033735C"/>
    <w:rsid w:val="00350477"/>
    <w:rsid w:val="00382162"/>
    <w:rsid w:val="003A477C"/>
    <w:rsid w:val="003B49F1"/>
    <w:rsid w:val="003C6631"/>
    <w:rsid w:val="003C727A"/>
    <w:rsid w:val="003D2C73"/>
    <w:rsid w:val="0040604D"/>
    <w:rsid w:val="004115E5"/>
    <w:rsid w:val="00427296"/>
    <w:rsid w:val="00437E1F"/>
    <w:rsid w:val="00444465"/>
    <w:rsid w:val="00444BFC"/>
    <w:rsid w:val="0045073B"/>
    <w:rsid w:val="00450B9E"/>
    <w:rsid w:val="0045764A"/>
    <w:rsid w:val="00470F16"/>
    <w:rsid w:val="00471858"/>
    <w:rsid w:val="00472F90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C754D"/>
    <w:rsid w:val="004D0A48"/>
    <w:rsid w:val="004D122E"/>
    <w:rsid w:val="004D33CC"/>
    <w:rsid w:val="004D5977"/>
    <w:rsid w:val="004E1B27"/>
    <w:rsid w:val="004E3660"/>
    <w:rsid w:val="004F18C9"/>
    <w:rsid w:val="004F303E"/>
    <w:rsid w:val="00512A26"/>
    <w:rsid w:val="00516EC3"/>
    <w:rsid w:val="005255C0"/>
    <w:rsid w:val="005271CD"/>
    <w:rsid w:val="0052722C"/>
    <w:rsid w:val="005330C2"/>
    <w:rsid w:val="005405B2"/>
    <w:rsid w:val="00541304"/>
    <w:rsid w:val="00560968"/>
    <w:rsid w:val="005667BF"/>
    <w:rsid w:val="0057316C"/>
    <w:rsid w:val="00574EBB"/>
    <w:rsid w:val="00580B58"/>
    <w:rsid w:val="005A00E0"/>
    <w:rsid w:val="005C64E0"/>
    <w:rsid w:val="005D18E4"/>
    <w:rsid w:val="005D2BAC"/>
    <w:rsid w:val="005E0F0D"/>
    <w:rsid w:val="005E57EA"/>
    <w:rsid w:val="005F1C74"/>
    <w:rsid w:val="005F34B4"/>
    <w:rsid w:val="005F6B61"/>
    <w:rsid w:val="0060244B"/>
    <w:rsid w:val="00633E48"/>
    <w:rsid w:val="0065122E"/>
    <w:rsid w:val="0065521D"/>
    <w:rsid w:val="00661A2C"/>
    <w:rsid w:val="00670A6F"/>
    <w:rsid w:val="00681266"/>
    <w:rsid w:val="006A55E8"/>
    <w:rsid w:val="006B0DFC"/>
    <w:rsid w:val="006C61BA"/>
    <w:rsid w:val="006D03B0"/>
    <w:rsid w:val="006D450A"/>
    <w:rsid w:val="006E3AA5"/>
    <w:rsid w:val="006F047D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80782A"/>
    <w:rsid w:val="00812B83"/>
    <w:rsid w:val="00823703"/>
    <w:rsid w:val="008272DA"/>
    <w:rsid w:val="00833B6C"/>
    <w:rsid w:val="00837B10"/>
    <w:rsid w:val="00841EAC"/>
    <w:rsid w:val="00847188"/>
    <w:rsid w:val="00854C82"/>
    <w:rsid w:val="008818F2"/>
    <w:rsid w:val="008918CA"/>
    <w:rsid w:val="008A372E"/>
    <w:rsid w:val="008B6DBE"/>
    <w:rsid w:val="008B7A72"/>
    <w:rsid w:val="00910830"/>
    <w:rsid w:val="00911366"/>
    <w:rsid w:val="00926290"/>
    <w:rsid w:val="00934757"/>
    <w:rsid w:val="0094297A"/>
    <w:rsid w:val="0094414B"/>
    <w:rsid w:val="00967005"/>
    <w:rsid w:val="009818F4"/>
    <w:rsid w:val="0098779E"/>
    <w:rsid w:val="0099107E"/>
    <w:rsid w:val="009C5486"/>
    <w:rsid w:val="009C5FA7"/>
    <w:rsid w:val="009C76B7"/>
    <w:rsid w:val="009D650B"/>
    <w:rsid w:val="009E17F9"/>
    <w:rsid w:val="009F59F6"/>
    <w:rsid w:val="009F5C27"/>
    <w:rsid w:val="009F6923"/>
    <w:rsid w:val="00A0664B"/>
    <w:rsid w:val="00A24109"/>
    <w:rsid w:val="00A36125"/>
    <w:rsid w:val="00A4272B"/>
    <w:rsid w:val="00A75770"/>
    <w:rsid w:val="00A84185"/>
    <w:rsid w:val="00A907A9"/>
    <w:rsid w:val="00AB6FBC"/>
    <w:rsid w:val="00AC6A6C"/>
    <w:rsid w:val="00AD0DF2"/>
    <w:rsid w:val="00AD7490"/>
    <w:rsid w:val="00AE3C61"/>
    <w:rsid w:val="00AE3D93"/>
    <w:rsid w:val="00AF1B7B"/>
    <w:rsid w:val="00AF731B"/>
    <w:rsid w:val="00B01A96"/>
    <w:rsid w:val="00B1132E"/>
    <w:rsid w:val="00B254FD"/>
    <w:rsid w:val="00B32C29"/>
    <w:rsid w:val="00B35635"/>
    <w:rsid w:val="00B36A6D"/>
    <w:rsid w:val="00B4261E"/>
    <w:rsid w:val="00B469D6"/>
    <w:rsid w:val="00B63803"/>
    <w:rsid w:val="00B73408"/>
    <w:rsid w:val="00B76A11"/>
    <w:rsid w:val="00B82BF8"/>
    <w:rsid w:val="00B83F90"/>
    <w:rsid w:val="00B860F5"/>
    <w:rsid w:val="00B87F62"/>
    <w:rsid w:val="00B955DF"/>
    <w:rsid w:val="00B968EA"/>
    <w:rsid w:val="00BB00D8"/>
    <w:rsid w:val="00BC0D44"/>
    <w:rsid w:val="00BC1EF8"/>
    <w:rsid w:val="00BC2238"/>
    <w:rsid w:val="00BC41DA"/>
    <w:rsid w:val="00BD1440"/>
    <w:rsid w:val="00BD76C2"/>
    <w:rsid w:val="00BE1208"/>
    <w:rsid w:val="00BE1E43"/>
    <w:rsid w:val="00BF0FA0"/>
    <w:rsid w:val="00C22B8A"/>
    <w:rsid w:val="00C47C08"/>
    <w:rsid w:val="00C56A40"/>
    <w:rsid w:val="00C61136"/>
    <w:rsid w:val="00C72B56"/>
    <w:rsid w:val="00C817E4"/>
    <w:rsid w:val="00C8786D"/>
    <w:rsid w:val="00C90AD3"/>
    <w:rsid w:val="00C965C7"/>
    <w:rsid w:val="00CB0D44"/>
    <w:rsid w:val="00CC05F1"/>
    <w:rsid w:val="00CD1603"/>
    <w:rsid w:val="00CD6FCF"/>
    <w:rsid w:val="00CE30A8"/>
    <w:rsid w:val="00CE4FA6"/>
    <w:rsid w:val="00CE64A1"/>
    <w:rsid w:val="00CF2700"/>
    <w:rsid w:val="00D06B10"/>
    <w:rsid w:val="00D140CD"/>
    <w:rsid w:val="00D155E9"/>
    <w:rsid w:val="00D24A3A"/>
    <w:rsid w:val="00D26C2D"/>
    <w:rsid w:val="00D30AE7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E5B37"/>
    <w:rsid w:val="00DE5D6E"/>
    <w:rsid w:val="00DF57B2"/>
    <w:rsid w:val="00DF6871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33252"/>
    <w:rsid w:val="00F36196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2ECD"/>
    <w:rsid w:val="00FE4E97"/>
    <w:rsid w:val="00FF1A4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075D66E8"/>
  <w15:docId w15:val="{D67BD0A3-B41E-44DE-9AD9-4387A83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024F-211D-413E-B913-5BA641D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1</cp:revision>
  <cp:lastPrinted>2014-12-17T00:20:00Z</cp:lastPrinted>
  <dcterms:created xsi:type="dcterms:W3CDTF">2015-10-02T22:52:00Z</dcterms:created>
  <dcterms:modified xsi:type="dcterms:W3CDTF">2018-02-05T19:33:00Z</dcterms:modified>
</cp:coreProperties>
</file>