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B7648" w14:textId="1FC6361F" w:rsidR="002C0256" w:rsidRPr="00496509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496509">
        <w:rPr>
          <w:rFonts w:ascii="Tahoma" w:hAnsi="Tahoma" w:cs="Tahoma"/>
          <w:b/>
          <w:sz w:val="22"/>
          <w:szCs w:val="22"/>
        </w:rPr>
        <w:t xml:space="preserve">Objective: </w:t>
      </w:r>
      <w:r w:rsidR="00253F2F" w:rsidRPr="00496509">
        <w:rPr>
          <w:rFonts w:ascii="Tahoma" w:hAnsi="Tahoma" w:cs="Tahoma"/>
          <w:sz w:val="22"/>
          <w:szCs w:val="22"/>
        </w:rPr>
        <w:t>To promot</w:t>
      </w:r>
      <w:r w:rsidR="001E7DEC" w:rsidRPr="00496509">
        <w:rPr>
          <w:rFonts w:ascii="Tahoma" w:hAnsi="Tahoma" w:cs="Tahoma"/>
          <w:sz w:val="22"/>
          <w:szCs w:val="22"/>
        </w:rPr>
        <w:t>e</w:t>
      </w:r>
      <w:r w:rsidR="00253F2F" w:rsidRPr="00496509">
        <w:rPr>
          <w:rFonts w:ascii="Tahoma" w:hAnsi="Tahoma" w:cs="Tahoma"/>
          <w:sz w:val="22"/>
          <w:szCs w:val="22"/>
        </w:rPr>
        <w:t xml:space="preserve"> critical safety behaviors</w:t>
      </w:r>
      <w:r w:rsidR="001E7DEC" w:rsidRPr="00496509">
        <w:rPr>
          <w:rFonts w:ascii="Tahoma" w:hAnsi="Tahoma" w:cs="Tahoma"/>
          <w:sz w:val="22"/>
          <w:szCs w:val="22"/>
        </w:rPr>
        <w:t xml:space="preserve"> that minimize employee exposure to hazards </w:t>
      </w:r>
    </w:p>
    <w:p w14:paraId="40359E65" w14:textId="77777777" w:rsidR="002C0256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640A5471" w14:textId="77777777" w:rsidR="002C0256" w:rsidRPr="00C36B44" w:rsidRDefault="002C0256" w:rsidP="00E964D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07879A" wp14:editId="0BE9E130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7B566563" w14:textId="77777777"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11688237" w14:textId="3D2C2480" w:rsidR="00391EEC" w:rsidRPr="0075589E" w:rsidRDefault="00115742" w:rsidP="00391EEC">
      <w:pPr>
        <w:pStyle w:val="NormalWeb"/>
        <w:spacing w:before="0" w:beforeAutospacing="0" w:after="220" w:afterAutospacing="0"/>
        <w:rPr>
          <w:rFonts w:ascii="Tahoma" w:hAnsi="Tahoma" w:cs="Tahoma"/>
          <w:noProof/>
          <w:sz w:val="36"/>
          <w:szCs w:val="36"/>
        </w:rPr>
      </w:pPr>
      <w:r>
        <w:rPr>
          <w:rFonts w:ascii="Tahoma" w:hAnsi="Tahoma" w:cs="Tahoma"/>
          <w:color w:val="000000"/>
          <w:sz w:val="22"/>
          <w:szCs w:val="22"/>
        </w:rPr>
        <w:t>U</w:t>
      </w:r>
      <w:r w:rsidR="00B0648E" w:rsidRPr="00B0648E">
        <w:rPr>
          <w:rFonts w:ascii="Tahoma" w:hAnsi="Tahoma" w:cs="Tahoma"/>
          <w:color w:val="000000"/>
          <w:sz w:val="22"/>
          <w:szCs w:val="22"/>
        </w:rPr>
        <w:t xml:space="preserve">nsafe </w:t>
      </w:r>
      <w:r w:rsidR="00B0648E" w:rsidRPr="0075589E">
        <w:rPr>
          <w:rFonts w:ascii="Tahoma" w:hAnsi="Tahoma" w:cs="Tahoma"/>
          <w:sz w:val="22"/>
          <w:szCs w:val="22"/>
        </w:rPr>
        <w:t>behavior</w:t>
      </w:r>
      <w:r w:rsidR="002333B6" w:rsidRPr="0075589E">
        <w:rPr>
          <w:rFonts w:ascii="Tahoma" w:hAnsi="Tahoma" w:cs="Tahoma"/>
          <w:sz w:val="22"/>
          <w:szCs w:val="22"/>
        </w:rPr>
        <w:t>s</w:t>
      </w:r>
      <w:r w:rsidR="00B0648E" w:rsidRPr="0075589E">
        <w:rPr>
          <w:rFonts w:ascii="Tahoma" w:hAnsi="Tahoma" w:cs="Tahoma"/>
          <w:sz w:val="22"/>
          <w:szCs w:val="22"/>
        </w:rPr>
        <w:t xml:space="preserve"> or decision</w:t>
      </w:r>
      <w:r w:rsidRPr="0075589E">
        <w:rPr>
          <w:rFonts w:ascii="Tahoma" w:hAnsi="Tahoma" w:cs="Tahoma"/>
          <w:sz w:val="22"/>
          <w:szCs w:val="22"/>
        </w:rPr>
        <w:t>s</w:t>
      </w:r>
      <w:r w:rsidR="00B0648E" w:rsidRPr="0075589E">
        <w:rPr>
          <w:rFonts w:ascii="Tahoma" w:hAnsi="Tahoma" w:cs="Tahoma"/>
          <w:sz w:val="22"/>
          <w:szCs w:val="22"/>
        </w:rPr>
        <w:t xml:space="preserve"> </w:t>
      </w:r>
      <w:r w:rsidRPr="0075589E">
        <w:rPr>
          <w:rFonts w:ascii="Tahoma" w:hAnsi="Tahoma" w:cs="Tahoma"/>
          <w:sz w:val="22"/>
          <w:szCs w:val="22"/>
        </w:rPr>
        <w:t>are usually contributing factors in incidents</w:t>
      </w:r>
      <w:r w:rsidR="00D8697F" w:rsidRPr="0075589E">
        <w:rPr>
          <w:rFonts w:ascii="Tahoma" w:hAnsi="Tahoma" w:cs="Tahoma"/>
          <w:sz w:val="22"/>
          <w:szCs w:val="22"/>
        </w:rPr>
        <w:t>. S</w:t>
      </w:r>
      <w:r w:rsidRPr="0075589E">
        <w:rPr>
          <w:rFonts w:ascii="Tahoma" w:hAnsi="Tahoma" w:cs="Tahoma"/>
          <w:sz w:val="22"/>
          <w:szCs w:val="22"/>
        </w:rPr>
        <w:t xml:space="preserve">ometimes </w:t>
      </w:r>
      <w:r w:rsidR="00D8697F" w:rsidRPr="0075589E">
        <w:rPr>
          <w:rFonts w:ascii="Tahoma" w:hAnsi="Tahoma" w:cs="Tahoma"/>
          <w:sz w:val="22"/>
          <w:szCs w:val="22"/>
        </w:rPr>
        <w:t xml:space="preserve">an unsafe </w:t>
      </w:r>
      <w:r w:rsidR="00B34628" w:rsidRPr="0075589E">
        <w:rPr>
          <w:rFonts w:ascii="Tahoma" w:hAnsi="Tahoma" w:cs="Tahoma"/>
          <w:sz w:val="22"/>
          <w:szCs w:val="22"/>
        </w:rPr>
        <w:t>behavior</w:t>
      </w:r>
      <w:r w:rsidR="00D8697F" w:rsidRPr="0075589E">
        <w:rPr>
          <w:rFonts w:ascii="Tahoma" w:hAnsi="Tahoma" w:cs="Tahoma"/>
          <w:sz w:val="22"/>
          <w:szCs w:val="22"/>
        </w:rPr>
        <w:t xml:space="preserve"> increases the severity of injuries; other times, </w:t>
      </w:r>
      <w:r w:rsidR="00391EEC" w:rsidRPr="0075589E">
        <w:rPr>
          <w:rFonts w:ascii="Tahoma" w:hAnsi="Tahoma" w:cs="Tahoma"/>
          <w:sz w:val="22"/>
          <w:szCs w:val="22"/>
        </w:rPr>
        <w:t xml:space="preserve">it </w:t>
      </w:r>
      <w:r w:rsidR="00B34628" w:rsidRPr="0075589E">
        <w:rPr>
          <w:rFonts w:ascii="Tahoma" w:hAnsi="Tahoma" w:cs="Tahoma"/>
          <w:sz w:val="22"/>
          <w:szCs w:val="22"/>
        </w:rPr>
        <w:t xml:space="preserve">is simply </w:t>
      </w:r>
      <w:r w:rsidR="00391EEC" w:rsidRPr="0075589E">
        <w:rPr>
          <w:rFonts w:ascii="Tahoma" w:hAnsi="Tahoma" w:cs="Tahoma"/>
          <w:sz w:val="22"/>
          <w:szCs w:val="22"/>
        </w:rPr>
        <w:t xml:space="preserve">a </w:t>
      </w:r>
      <w:r w:rsidR="00C40AC1" w:rsidRPr="0075589E">
        <w:rPr>
          <w:rFonts w:ascii="Tahoma" w:hAnsi="Tahoma" w:cs="Tahoma"/>
          <w:sz w:val="22"/>
          <w:szCs w:val="22"/>
        </w:rPr>
        <w:t xml:space="preserve">key determinant in </w:t>
      </w:r>
      <w:r w:rsidR="00B34628" w:rsidRPr="0075589E">
        <w:rPr>
          <w:rFonts w:ascii="Tahoma" w:hAnsi="Tahoma" w:cs="Tahoma"/>
          <w:sz w:val="22"/>
          <w:szCs w:val="22"/>
        </w:rPr>
        <w:t xml:space="preserve">causing </w:t>
      </w:r>
      <w:r w:rsidR="00C40AC1" w:rsidRPr="0075589E">
        <w:rPr>
          <w:rFonts w:ascii="Tahoma" w:hAnsi="Tahoma" w:cs="Tahoma"/>
          <w:sz w:val="22"/>
          <w:szCs w:val="22"/>
        </w:rPr>
        <w:t>t</w:t>
      </w:r>
      <w:r w:rsidR="00391EEC" w:rsidRPr="0075589E">
        <w:rPr>
          <w:rFonts w:ascii="Tahoma" w:hAnsi="Tahoma" w:cs="Tahoma"/>
          <w:sz w:val="22"/>
          <w:szCs w:val="22"/>
        </w:rPr>
        <w:t>he incident</w:t>
      </w:r>
      <w:r w:rsidR="00B0648E" w:rsidRPr="0075589E">
        <w:rPr>
          <w:rFonts w:ascii="Tahoma" w:hAnsi="Tahoma" w:cs="Tahoma"/>
          <w:sz w:val="22"/>
          <w:szCs w:val="22"/>
        </w:rPr>
        <w:t>.</w:t>
      </w:r>
      <w:r w:rsidR="00AA6BAA" w:rsidRPr="0075589E">
        <w:rPr>
          <w:rFonts w:ascii="Tahoma" w:hAnsi="Tahoma" w:cs="Tahoma"/>
          <w:noProof/>
          <w:sz w:val="36"/>
          <w:szCs w:val="36"/>
        </w:rPr>
        <w:t xml:space="preserve"> </w:t>
      </w:r>
    </w:p>
    <w:p w14:paraId="71582E3A" w14:textId="77777777" w:rsidR="00236476" w:rsidRPr="00496509" w:rsidRDefault="00C11852" w:rsidP="00B0648E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 w:rsidRPr="0075589E">
        <w:rPr>
          <w:rFonts w:ascii="Tahoma" w:hAnsi="Tahoma" w:cs="Tahoma"/>
          <w:sz w:val="22"/>
          <w:szCs w:val="22"/>
        </w:rPr>
        <w:t xml:space="preserve">While employers also have a large responsibility to control hazards for their employees, the role employees play is vital. </w:t>
      </w:r>
      <w:r w:rsidR="00391EEC" w:rsidRPr="0075589E">
        <w:rPr>
          <w:rFonts w:ascii="Tahoma" w:hAnsi="Tahoma" w:cs="Tahoma"/>
          <w:sz w:val="22"/>
          <w:szCs w:val="22"/>
        </w:rPr>
        <w:t>I</w:t>
      </w:r>
      <w:r w:rsidR="00D8697F" w:rsidRPr="0075589E">
        <w:rPr>
          <w:rFonts w:ascii="Tahoma" w:hAnsi="Tahoma" w:cs="Tahoma"/>
          <w:sz w:val="22"/>
          <w:szCs w:val="22"/>
        </w:rPr>
        <w:t xml:space="preserve">f you </w:t>
      </w:r>
      <w:r w:rsidR="00B0648E" w:rsidRPr="0075589E">
        <w:rPr>
          <w:rFonts w:ascii="Tahoma" w:hAnsi="Tahoma" w:cs="Tahoma"/>
          <w:sz w:val="22"/>
          <w:szCs w:val="22"/>
        </w:rPr>
        <w:t>understand the hazards</w:t>
      </w:r>
      <w:r w:rsidR="00D8697F" w:rsidRPr="0075589E">
        <w:rPr>
          <w:rFonts w:ascii="Tahoma" w:hAnsi="Tahoma" w:cs="Tahoma"/>
          <w:sz w:val="22"/>
          <w:szCs w:val="22"/>
        </w:rPr>
        <w:t xml:space="preserve"> of your job</w:t>
      </w:r>
      <w:r w:rsidR="00B0648E" w:rsidRPr="0075589E">
        <w:rPr>
          <w:rFonts w:ascii="Tahoma" w:hAnsi="Tahoma" w:cs="Tahoma"/>
          <w:sz w:val="22"/>
          <w:szCs w:val="22"/>
        </w:rPr>
        <w:t xml:space="preserve"> and </w:t>
      </w:r>
      <w:r w:rsidR="00D8697F" w:rsidRPr="0075589E">
        <w:rPr>
          <w:rFonts w:ascii="Tahoma" w:hAnsi="Tahoma" w:cs="Tahoma"/>
          <w:sz w:val="22"/>
          <w:szCs w:val="22"/>
        </w:rPr>
        <w:t xml:space="preserve">the </w:t>
      </w:r>
      <w:r w:rsidR="00B0648E" w:rsidRPr="0075589E">
        <w:rPr>
          <w:rFonts w:ascii="Tahoma" w:hAnsi="Tahoma" w:cs="Tahoma"/>
          <w:sz w:val="22"/>
          <w:szCs w:val="22"/>
        </w:rPr>
        <w:t xml:space="preserve">safe behaviors </w:t>
      </w:r>
      <w:r w:rsidR="00D8697F" w:rsidRPr="0075589E">
        <w:rPr>
          <w:rFonts w:ascii="Tahoma" w:hAnsi="Tahoma" w:cs="Tahoma"/>
          <w:sz w:val="22"/>
          <w:szCs w:val="22"/>
        </w:rPr>
        <w:t xml:space="preserve">required of you, and </w:t>
      </w:r>
      <w:r w:rsidRPr="0075589E">
        <w:rPr>
          <w:rFonts w:ascii="Tahoma" w:hAnsi="Tahoma" w:cs="Tahoma"/>
          <w:sz w:val="22"/>
          <w:szCs w:val="22"/>
        </w:rPr>
        <w:t xml:space="preserve">you </w:t>
      </w:r>
      <w:r w:rsidR="00115742" w:rsidRPr="0075589E">
        <w:rPr>
          <w:rFonts w:ascii="Tahoma" w:hAnsi="Tahoma" w:cs="Tahoma"/>
          <w:sz w:val="22"/>
          <w:szCs w:val="22"/>
        </w:rPr>
        <w:t xml:space="preserve">do </w:t>
      </w:r>
      <w:r w:rsidR="00D8697F" w:rsidRPr="0075589E">
        <w:rPr>
          <w:rFonts w:ascii="Tahoma" w:hAnsi="Tahoma" w:cs="Tahoma"/>
          <w:sz w:val="22"/>
          <w:szCs w:val="22"/>
        </w:rPr>
        <w:t>your</w:t>
      </w:r>
      <w:r w:rsidR="00115742" w:rsidRPr="0075589E">
        <w:rPr>
          <w:rFonts w:ascii="Tahoma" w:hAnsi="Tahoma" w:cs="Tahoma"/>
          <w:sz w:val="22"/>
          <w:szCs w:val="22"/>
        </w:rPr>
        <w:t xml:space="preserve"> </w:t>
      </w:r>
      <w:r w:rsidR="00115742" w:rsidRPr="00496509">
        <w:rPr>
          <w:rFonts w:ascii="Tahoma" w:hAnsi="Tahoma" w:cs="Tahoma"/>
          <w:sz w:val="22"/>
          <w:szCs w:val="22"/>
        </w:rPr>
        <w:t>part</w:t>
      </w:r>
      <w:r w:rsidR="00D8697F" w:rsidRPr="00496509">
        <w:rPr>
          <w:rFonts w:ascii="Tahoma" w:hAnsi="Tahoma" w:cs="Tahoma"/>
          <w:sz w:val="22"/>
          <w:szCs w:val="22"/>
        </w:rPr>
        <w:t xml:space="preserve"> to help</w:t>
      </w:r>
      <w:r w:rsidR="00115742" w:rsidRPr="00496509">
        <w:rPr>
          <w:rFonts w:ascii="Tahoma" w:hAnsi="Tahoma" w:cs="Tahoma"/>
          <w:sz w:val="22"/>
          <w:szCs w:val="22"/>
        </w:rPr>
        <w:t xml:space="preserve">, </w:t>
      </w:r>
      <w:r w:rsidRPr="00496509">
        <w:rPr>
          <w:rFonts w:ascii="Tahoma" w:hAnsi="Tahoma" w:cs="Tahoma"/>
          <w:sz w:val="22"/>
          <w:szCs w:val="22"/>
        </w:rPr>
        <w:t xml:space="preserve">many </w:t>
      </w:r>
      <w:r w:rsidR="00115742" w:rsidRPr="00496509">
        <w:rPr>
          <w:rFonts w:ascii="Tahoma" w:hAnsi="Tahoma" w:cs="Tahoma"/>
          <w:sz w:val="22"/>
          <w:szCs w:val="22"/>
        </w:rPr>
        <w:t>in</w:t>
      </w:r>
      <w:r w:rsidR="00B0648E" w:rsidRPr="00496509">
        <w:rPr>
          <w:rFonts w:ascii="Tahoma" w:hAnsi="Tahoma" w:cs="Tahoma"/>
          <w:sz w:val="22"/>
          <w:szCs w:val="22"/>
        </w:rPr>
        <w:t>cidents can be avoided.</w:t>
      </w:r>
    </w:p>
    <w:p w14:paraId="5EF25464" w14:textId="57686099" w:rsidR="00AA6BAA" w:rsidRPr="00755B01" w:rsidRDefault="00B0648E" w:rsidP="002333B6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B0648E">
        <w:rPr>
          <w:rFonts w:ascii="Tahoma" w:hAnsi="Tahoma" w:cs="Tahoma"/>
          <w:b/>
          <w:color w:val="315CA3"/>
          <w:sz w:val="28"/>
          <w:szCs w:val="28"/>
        </w:rPr>
        <w:t xml:space="preserve">Examples of </w:t>
      </w:r>
      <w:r w:rsidR="00C152CF" w:rsidRPr="00B0648E">
        <w:rPr>
          <w:rFonts w:ascii="Tahoma" w:hAnsi="Tahoma" w:cs="Tahoma"/>
          <w:b/>
          <w:color w:val="315CA3"/>
          <w:sz w:val="28"/>
          <w:szCs w:val="28"/>
        </w:rPr>
        <w:t xml:space="preserve">Behaviors </w:t>
      </w:r>
      <w:r w:rsidR="000346B4">
        <w:rPr>
          <w:rFonts w:ascii="Tahoma" w:hAnsi="Tahoma" w:cs="Tahoma"/>
          <w:b/>
          <w:color w:val="315CA3"/>
          <w:sz w:val="28"/>
          <w:szCs w:val="28"/>
        </w:rPr>
        <w:t>T</w:t>
      </w:r>
      <w:r w:rsidR="00C152CF" w:rsidRPr="00B0648E">
        <w:rPr>
          <w:rFonts w:ascii="Tahoma" w:hAnsi="Tahoma" w:cs="Tahoma"/>
          <w:b/>
          <w:color w:val="315CA3"/>
          <w:sz w:val="28"/>
          <w:szCs w:val="28"/>
        </w:rPr>
        <w:t xml:space="preserve">hat Must Be Avoided </w:t>
      </w:r>
      <w:r w:rsidR="00C152CF">
        <w:rPr>
          <w:rFonts w:ascii="Tahoma" w:hAnsi="Tahoma" w:cs="Tahoma"/>
          <w:b/>
          <w:color w:val="315CA3"/>
          <w:sz w:val="28"/>
          <w:szCs w:val="28"/>
        </w:rPr>
        <w:t>a</w:t>
      </w:r>
      <w:r w:rsidR="00C152CF" w:rsidRPr="00B0648E">
        <w:rPr>
          <w:rFonts w:ascii="Tahoma" w:hAnsi="Tahoma" w:cs="Tahoma"/>
          <w:b/>
          <w:color w:val="315CA3"/>
          <w:sz w:val="28"/>
          <w:szCs w:val="28"/>
        </w:rPr>
        <w:t>t All Times</w:t>
      </w:r>
    </w:p>
    <w:p w14:paraId="34EA844F" w14:textId="40E6F0E9" w:rsidR="000346B4" w:rsidRPr="00B0648E" w:rsidRDefault="00362D25" w:rsidP="000346B4">
      <w:pPr>
        <w:pStyle w:val="NormalWeb"/>
        <w:numPr>
          <w:ilvl w:val="0"/>
          <w:numId w:val="49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 w:rsidRPr="0075589E">
        <w:rPr>
          <w:rFonts w:ascii="Tahoma" w:hAnsi="Tahoma" w:cs="Tahoma"/>
          <w:sz w:val="22"/>
          <w:szCs w:val="22"/>
        </w:rPr>
        <w:t>Displacing</w:t>
      </w:r>
      <w:r w:rsidR="000346B4" w:rsidRPr="0075589E">
        <w:rPr>
          <w:rFonts w:ascii="Tahoma" w:hAnsi="Tahoma" w:cs="Tahoma"/>
          <w:sz w:val="22"/>
          <w:szCs w:val="22"/>
        </w:rPr>
        <w:t xml:space="preserve"> </w:t>
      </w:r>
      <w:r w:rsidR="000346B4" w:rsidRPr="00B0648E">
        <w:rPr>
          <w:rFonts w:ascii="Tahoma" w:hAnsi="Tahoma" w:cs="Tahoma"/>
          <w:color w:val="000000"/>
          <w:sz w:val="22"/>
          <w:szCs w:val="22"/>
        </w:rPr>
        <w:t>or bypass</w:t>
      </w:r>
      <w:r w:rsidR="000346B4">
        <w:rPr>
          <w:rFonts w:ascii="Tahoma" w:hAnsi="Tahoma" w:cs="Tahoma"/>
          <w:color w:val="000000"/>
          <w:sz w:val="22"/>
          <w:szCs w:val="22"/>
        </w:rPr>
        <w:t>ing safeguards</w:t>
      </w:r>
    </w:p>
    <w:p w14:paraId="384A17EF" w14:textId="77777777" w:rsidR="000346B4" w:rsidRPr="00B0648E" w:rsidRDefault="000346B4" w:rsidP="000346B4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Bypassing a lockout process</w:t>
      </w:r>
    </w:p>
    <w:p w14:paraId="61D50518" w14:textId="77777777" w:rsidR="000346B4" w:rsidRPr="00B0648E" w:rsidRDefault="000346B4" w:rsidP="000346B4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 xml:space="preserve">Bypassing any established </w:t>
      </w:r>
      <w:r>
        <w:rPr>
          <w:rFonts w:ascii="Tahoma" w:hAnsi="Tahoma" w:cs="Tahoma"/>
          <w:color w:val="000000"/>
          <w:sz w:val="22"/>
          <w:szCs w:val="22"/>
        </w:rPr>
        <w:t>safety procedure or device</w:t>
      </w:r>
    </w:p>
    <w:p w14:paraId="119C5AC5" w14:textId="467ADA05" w:rsidR="00B0648E" w:rsidRPr="00B0648E" w:rsidRDefault="000346B4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Walking under suspended loads</w:t>
      </w:r>
    </w:p>
    <w:p w14:paraId="277166C3" w14:textId="73D0C72A" w:rsidR="00B0648E" w:rsidRPr="00B0648E" w:rsidRDefault="00B0648E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Using an ungroun</w:t>
      </w:r>
      <w:r w:rsidR="000346B4">
        <w:rPr>
          <w:rFonts w:ascii="Tahoma" w:hAnsi="Tahoma" w:cs="Tahoma"/>
          <w:color w:val="000000"/>
          <w:sz w:val="22"/>
          <w:szCs w:val="22"/>
        </w:rPr>
        <w:t>ded portable electric hand tool</w:t>
      </w:r>
    </w:p>
    <w:p w14:paraId="0127F3C2" w14:textId="3035F212" w:rsidR="00B0648E" w:rsidRPr="00B0648E" w:rsidRDefault="00B0648E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Reaching in</w:t>
      </w:r>
      <w:r w:rsidR="000346B4">
        <w:rPr>
          <w:rFonts w:ascii="Tahoma" w:hAnsi="Tahoma" w:cs="Tahoma"/>
          <w:color w:val="000000"/>
          <w:sz w:val="22"/>
          <w:szCs w:val="22"/>
        </w:rPr>
        <w:t>to hazardous areas of machinery</w:t>
      </w:r>
    </w:p>
    <w:p w14:paraId="74BF1A10" w14:textId="56A4CA5A" w:rsidR="00B0648E" w:rsidRPr="00B0648E" w:rsidRDefault="00B0648E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Manually lifting load</w:t>
      </w:r>
      <w:r w:rsidR="000346B4">
        <w:rPr>
          <w:rFonts w:ascii="Tahoma" w:hAnsi="Tahoma" w:cs="Tahoma"/>
          <w:color w:val="000000"/>
          <w:sz w:val="22"/>
          <w:szCs w:val="22"/>
        </w:rPr>
        <w:t>s that are too heavy or awkward</w:t>
      </w:r>
    </w:p>
    <w:p w14:paraId="6257C7AE" w14:textId="5E6756FB" w:rsidR="00B0648E" w:rsidRPr="00B0648E" w:rsidRDefault="00B0648E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Ove</w:t>
      </w:r>
      <w:r w:rsidR="000346B4">
        <w:rPr>
          <w:rFonts w:ascii="Tahoma" w:hAnsi="Tahoma" w:cs="Tahoma"/>
          <w:color w:val="000000"/>
          <w:sz w:val="22"/>
          <w:szCs w:val="22"/>
        </w:rPr>
        <w:t>rloading a scaffold or forklift</w:t>
      </w:r>
    </w:p>
    <w:p w14:paraId="400B7BCE" w14:textId="607D7C88" w:rsidR="00B0648E" w:rsidRPr="00B0648E" w:rsidRDefault="00B0648E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Taking a shortcut by climb</w:t>
      </w:r>
      <w:r w:rsidR="000346B4">
        <w:rPr>
          <w:rFonts w:ascii="Tahoma" w:hAnsi="Tahoma" w:cs="Tahoma"/>
          <w:color w:val="000000"/>
          <w:sz w:val="22"/>
          <w:szCs w:val="22"/>
        </w:rPr>
        <w:t>ing over a moving conveyer belt</w:t>
      </w:r>
    </w:p>
    <w:p w14:paraId="13996488" w14:textId="6052C671" w:rsidR="00B0648E" w:rsidRPr="00B0648E" w:rsidRDefault="00B0648E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Chipping or grinding without safety glass</w:t>
      </w:r>
      <w:r w:rsidR="000346B4">
        <w:rPr>
          <w:rFonts w:ascii="Tahoma" w:hAnsi="Tahoma" w:cs="Tahoma"/>
          <w:color w:val="000000"/>
          <w:sz w:val="22"/>
          <w:szCs w:val="22"/>
        </w:rPr>
        <w:t>es or goggles and a face shield</w:t>
      </w:r>
    </w:p>
    <w:p w14:paraId="7EB26EF3" w14:textId="3EAC0CA1" w:rsidR="00B0648E" w:rsidRPr="00B0648E" w:rsidRDefault="00B0648E" w:rsidP="002333B6">
      <w:pPr>
        <w:pStyle w:val="NormalWeb"/>
        <w:numPr>
          <w:ilvl w:val="0"/>
          <w:numId w:val="49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Cleaning parts with flammable or toxic solvents, especi</w:t>
      </w:r>
      <w:r w:rsidR="000346B4">
        <w:rPr>
          <w:rFonts w:ascii="Tahoma" w:hAnsi="Tahoma" w:cs="Tahoma"/>
          <w:color w:val="000000"/>
          <w:sz w:val="22"/>
          <w:szCs w:val="22"/>
        </w:rPr>
        <w:t>ally in poorly-ventilated areas</w:t>
      </w:r>
    </w:p>
    <w:p w14:paraId="00A1C91F" w14:textId="77777777" w:rsidR="00172587" w:rsidRDefault="00172587" w:rsidP="00812DBD">
      <w:pPr>
        <w:jc w:val="center"/>
        <w:rPr>
          <w:rFonts w:ascii="Tahoma" w:hAnsi="Tahoma" w:cs="Tahoma"/>
          <w:i/>
          <w:sz w:val="24"/>
          <w:szCs w:val="24"/>
        </w:rPr>
      </w:pPr>
    </w:p>
    <w:p w14:paraId="56E14210" w14:textId="77777777" w:rsidR="00172587" w:rsidRDefault="00172587" w:rsidP="00812DBD">
      <w:pPr>
        <w:jc w:val="center"/>
        <w:rPr>
          <w:rFonts w:ascii="Tahoma" w:hAnsi="Tahoma" w:cs="Tahoma"/>
          <w:i/>
          <w:sz w:val="24"/>
          <w:szCs w:val="24"/>
        </w:rPr>
      </w:pPr>
    </w:p>
    <w:p w14:paraId="1DE5FCAB" w14:textId="1EC13DF8" w:rsidR="00172587" w:rsidRDefault="00172587" w:rsidP="00812DBD">
      <w:pPr>
        <w:jc w:val="center"/>
        <w:rPr>
          <w:rFonts w:ascii="Tahoma" w:hAnsi="Tahoma" w:cs="Tahoma"/>
          <w:i/>
          <w:sz w:val="24"/>
          <w:szCs w:val="24"/>
        </w:rPr>
      </w:pPr>
    </w:p>
    <w:p w14:paraId="79923D19" w14:textId="6AC4BDAC" w:rsidR="00AC6EBA" w:rsidRPr="00496509" w:rsidRDefault="00812DBD" w:rsidP="00172587">
      <w:pPr>
        <w:jc w:val="center"/>
        <w:rPr>
          <w:rFonts w:ascii="Tahoma" w:hAnsi="Tahoma" w:cs="Tahoma"/>
          <w:i/>
          <w:sz w:val="22"/>
          <w:szCs w:val="24"/>
        </w:rPr>
      </w:pPr>
      <w:r w:rsidRPr="00496509">
        <w:rPr>
          <w:rFonts w:ascii="Tahoma" w:hAnsi="Tahoma" w:cs="Tahoma"/>
          <w:i/>
          <w:sz w:val="22"/>
          <w:szCs w:val="24"/>
        </w:rPr>
        <w:t xml:space="preserve">A successful safety program includes you being aware of the </w:t>
      </w:r>
      <w:r w:rsidRPr="00496509">
        <w:rPr>
          <w:rFonts w:ascii="Tahoma" w:hAnsi="Tahoma" w:cs="Tahoma"/>
          <w:i/>
          <w:sz w:val="22"/>
          <w:szCs w:val="24"/>
        </w:rPr>
        <w:br/>
        <w:t>hazards of tasks, knowing the critica</w:t>
      </w:r>
      <w:r w:rsidR="007B6736" w:rsidRPr="00496509">
        <w:rPr>
          <w:rFonts w:ascii="Tahoma" w:hAnsi="Tahoma" w:cs="Tahoma"/>
          <w:i/>
          <w:sz w:val="22"/>
          <w:szCs w:val="24"/>
        </w:rPr>
        <w:t>l behaviors, and following them.</w:t>
      </w:r>
    </w:p>
    <w:p w14:paraId="683F122C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56A92389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1C51AC8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1A14697" w14:textId="77777777"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531E0A30" w14:textId="77777777"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4279ACAD" w14:textId="77777777"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0E24F80" w14:textId="77777777"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1510B57F" w14:textId="77777777"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3D0F945D" w14:textId="77777777"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9BB9BB7" w14:textId="77777777"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D516C7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47BBA2F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466E5D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A8C77B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9D8B48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992FA1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68FE8E3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9E64BB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2F2AF7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3429D8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DA3404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2AE6C38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1E71DA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A6A72A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0BE485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EEAF8B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7556CA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3366ED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A478AC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5A37EC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C43A8F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AB6755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4C10B8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CE45AB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F77FC8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920E5FE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E243EC8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3F893BA6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EC2239A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48DC8BAF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FE79004" w14:textId="77777777"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14:paraId="018CC252" w14:textId="77777777"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 xml:space="preserve">Remember to 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document</w:t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attendance i</w:t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>n the Training Track application of the Risk Management Center.</w:t>
      </w:r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F30EF" w14:textId="77777777" w:rsidR="000E5886" w:rsidRDefault="000E5886">
      <w:r>
        <w:separator/>
      </w:r>
    </w:p>
  </w:endnote>
  <w:endnote w:type="continuationSeparator" w:id="0">
    <w:p w14:paraId="20CAC7AA" w14:textId="77777777" w:rsidR="000E5886" w:rsidRDefault="000E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01ADB670" w14:textId="7EFECF75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D44239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2295F" w14:textId="77777777" w:rsidR="000E5886" w:rsidRDefault="000E5886">
      <w:r>
        <w:separator/>
      </w:r>
    </w:p>
  </w:footnote>
  <w:footnote w:type="continuationSeparator" w:id="0">
    <w:p w14:paraId="135AD693" w14:textId="77777777" w:rsidR="000E5886" w:rsidRDefault="000E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B70" w14:textId="77777777" w:rsidR="00FF6E4F" w:rsidRDefault="00D44239">
    <w:pPr>
      <w:pStyle w:val="Header"/>
    </w:pPr>
    <w:r>
      <w:rPr>
        <w:noProof/>
      </w:rPr>
      <w:pict w14:anchorId="2995A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5F6B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12E587CE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0A97ADF3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43275B40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7F8FB05" w14:textId="602D220C" w:rsidR="00B968EA" w:rsidRPr="001B1D0E" w:rsidRDefault="00D4423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Safety Program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5C2F46A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7693C72F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7E490CC" w14:textId="310968B3" w:rsidR="00F428A2" w:rsidRPr="00496509" w:rsidRDefault="00AC6EBA" w:rsidP="00AA2DB0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 w:rsidRPr="00496509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Critical Safety </w:t>
          </w:r>
          <w:r w:rsidR="00AA2DB0" w:rsidRPr="00496509">
            <w:rPr>
              <w:rFonts w:ascii="Tahoma" w:hAnsi="Tahoma" w:cs="Tahoma"/>
              <w:b/>
              <w:color w:val="DA5500"/>
              <w:sz w:val="40"/>
              <w:szCs w:val="40"/>
            </w:rPr>
            <w:t>Behavior</w:t>
          </w:r>
          <w:r w:rsidR="00C40AC1" w:rsidRPr="00496509">
            <w:rPr>
              <w:rFonts w:ascii="Tahoma" w:hAnsi="Tahoma" w:cs="Tahoma"/>
              <w:b/>
              <w:color w:val="DA5500"/>
              <w:sz w:val="40"/>
              <w:szCs w:val="40"/>
            </w:rPr>
            <w:t>s</w:t>
          </w:r>
        </w:p>
      </w:tc>
    </w:tr>
  </w:tbl>
  <w:p w14:paraId="1E4D578D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18249145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6A26" w14:textId="77777777" w:rsidR="00FF6E4F" w:rsidRDefault="00D44239">
    <w:pPr>
      <w:pStyle w:val="Header"/>
    </w:pPr>
    <w:r>
      <w:rPr>
        <w:noProof/>
      </w:rPr>
      <w:pict w14:anchorId="6E01D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470C7"/>
    <w:multiLevelType w:val="hybridMultilevel"/>
    <w:tmpl w:val="C60EBD0C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592C5C"/>
    <w:multiLevelType w:val="hybridMultilevel"/>
    <w:tmpl w:val="F4AE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E7684"/>
    <w:multiLevelType w:val="hybridMultilevel"/>
    <w:tmpl w:val="1968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072B4"/>
    <w:multiLevelType w:val="hybridMultilevel"/>
    <w:tmpl w:val="5AEE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5EA54CE"/>
    <w:multiLevelType w:val="hybridMultilevel"/>
    <w:tmpl w:val="7714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48"/>
  </w:num>
  <w:num w:numId="4">
    <w:abstractNumId w:val="28"/>
  </w:num>
  <w:num w:numId="5">
    <w:abstractNumId w:val="30"/>
  </w:num>
  <w:num w:numId="6">
    <w:abstractNumId w:val="31"/>
  </w:num>
  <w:num w:numId="7">
    <w:abstractNumId w:val="17"/>
  </w:num>
  <w:num w:numId="8">
    <w:abstractNumId w:val="23"/>
  </w:num>
  <w:num w:numId="9">
    <w:abstractNumId w:val="18"/>
  </w:num>
  <w:num w:numId="10">
    <w:abstractNumId w:val="47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3"/>
  </w:num>
  <w:num w:numId="16">
    <w:abstractNumId w:val="16"/>
  </w:num>
  <w:num w:numId="17">
    <w:abstractNumId w:val="40"/>
  </w:num>
  <w:num w:numId="18">
    <w:abstractNumId w:val="3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5"/>
  </w:num>
  <w:num w:numId="24">
    <w:abstractNumId w:val="41"/>
  </w:num>
  <w:num w:numId="25">
    <w:abstractNumId w:val="14"/>
  </w:num>
  <w:num w:numId="26">
    <w:abstractNumId w:val="10"/>
  </w:num>
  <w:num w:numId="27">
    <w:abstractNumId w:val="37"/>
  </w:num>
  <w:num w:numId="28">
    <w:abstractNumId w:val="11"/>
  </w:num>
  <w:num w:numId="29">
    <w:abstractNumId w:val="39"/>
  </w:num>
  <w:num w:numId="30">
    <w:abstractNumId w:val="19"/>
  </w:num>
  <w:num w:numId="31">
    <w:abstractNumId w:val="42"/>
  </w:num>
  <w:num w:numId="32">
    <w:abstractNumId w:val="38"/>
  </w:num>
  <w:num w:numId="33">
    <w:abstractNumId w:val="9"/>
  </w:num>
  <w:num w:numId="34">
    <w:abstractNumId w:val="13"/>
  </w:num>
  <w:num w:numId="35">
    <w:abstractNumId w:val="4"/>
  </w:num>
  <w:num w:numId="36">
    <w:abstractNumId w:val="45"/>
  </w:num>
  <w:num w:numId="37">
    <w:abstractNumId w:val="0"/>
  </w:num>
  <w:num w:numId="38">
    <w:abstractNumId w:val="24"/>
  </w:num>
  <w:num w:numId="39">
    <w:abstractNumId w:val="35"/>
  </w:num>
  <w:num w:numId="40">
    <w:abstractNumId w:val="8"/>
  </w:num>
  <w:num w:numId="41">
    <w:abstractNumId w:val="2"/>
  </w:num>
  <w:num w:numId="42">
    <w:abstractNumId w:val="49"/>
  </w:num>
  <w:num w:numId="43">
    <w:abstractNumId w:val="22"/>
  </w:num>
  <w:num w:numId="44">
    <w:abstractNumId w:val="20"/>
  </w:num>
  <w:num w:numId="45">
    <w:abstractNumId w:val="29"/>
  </w:num>
  <w:num w:numId="46">
    <w:abstractNumId w:val="32"/>
  </w:num>
  <w:num w:numId="47">
    <w:abstractNumId w:val="44"/>
  </w:num>
  <w:num w:numId="48">
    <w:abstractNumId w:val="26"/>
  </w:num>
  <w:num w:numId="49">
    <w:abstractNumId w:val="3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46B4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E5886"/>
    <w:rsid w:val="000F7B87"/>
    <w:rsid w:val="00101E99"/>
    <w:rsid w:val="00115742"/>
    <w:rsid w:val="00125460"/>
    <w:rsid w:val="00134016"/>
    <w:rsid w:val="00145D16"/>
    <w:rsid w:val="0015166E"/>
    <w:rsid w:val="00170124"/>
    <w:rsid w:val="00172587"/>
    <w:rsid w:val="00177A03"/>
    <w:rsid w:val="001E6998"/>
    <w:rsid w:val="001E7DEC"/>
    <w:rsid w:val="001F349F"/>
    <w:rsid w:val="00206FD9"/>
    <w:rsid w:val="002075F3"/>
    <w:rsid w:val="00221DAE"/>
    <w:rsid w:val="00226854"/>
    <w:rsid w:val="002333B6"/>
    <w:rsid w:val="00236476"/>
    <w:rsid w:val="0024241C"/>
    <w:rsid w:val="002537E9"/>
    <w:rsid w:val="00253F2F"/>
    <w:rsid w:val="00262898"/>
    <w:rsid w:val="00265299"/>
    <w:rsid w:val="00272B52"/>
    <w:rsid w:val="00280478"/>
    <w:rsid w:val="0028530C"/>
    <w:rsid w:val="002C0256"/>
    <w:rsid w:val="002D6590"/>
    <w:rsid w:val="002D6C51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62D25"/>
    <w:rsid w:val="00391EEC"/>
    <w:rsid w:val="00391F6F"/>
    <w:rsid w:val="003A477C"/>
    <w:rsid w:val="003B49F1"/>
    <w:rsid w:val="003C6631"/>
    <w:rsid w:val="003C727A"/>
    <w:rsid w:val="003E4046"/>
    <w:rsid w:val="004115E5"/>
    <w:rsid w:val="00427296"/>
    <w:rsid w:val="00432B57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96509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13EC"/>
    <w:rsid w:val="004F303E"/>
    <w:rsid w:val="00512A26"/>
    <w:rsid w:val="005271CD"/>
    <w:rsid w:val="0052722C"/>
    <w:rsid w:val="005330C2"/>
    <w:rsid w:val="005405B2"/>
    <w:rsid w:val="00541304"/>
    <w:rsid w:val="00556DDD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89E"/>
    <w:rsid w:val="00755B01"/>
    <w:rsid w:val="00756B2D"/>
    <w:rsid w:val="00783265"/>
    <w:rsid w:val="00786B93"/>
    <w:rsid w:val="007A064D"/>
    <w:rsid w:val="007A2DAB"/>
    <w:rsid w:val="007B329D"/>
    <w:rsid w:val="007B63BE"/>
    <w:rsid w:val="007B6736"/>
    <w:rsid w:val="007C13E6"/>
    <w:rsid w:val="007D6F55"/>
    <w:rsid w:val="007F3E26"/>
    <w:rsid w:val="00812B83"/>
    <w:rsid w:val="00812DBD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F0275"/>
    <w:rsid w:val="00910830"/>
    <w:rsid w:val="00926290"/>
    <w:rsid w:val="00934757"/>
    <w:rsid w:val="0094297A"/>
    <w:rsid w:val="00967005"/>
    <w:rsid w:val="009818F4"/>
    <w:rsid w:val="0098779E"/>
    <w:rsid w:val="0099107E"/>
    <w:rsid w:val="009A403C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2DB0"/>
    <w:rsid w:val="00AA6BAA"/>
    <w:rsid w:val="00AB6FBC"/>
    <w:rsid w:val="00AC6A6C"/>
    <w:rsid w:val="00AC6EBA"/>
    <w:rsid w:val="00AD0DF2"/>
    <w:rsid w:val="00AE3C61"/>
    <w:rsid w:val="00AE3D93"/>
    <w:rsid w:val="00AF1851"/>
    <w:rsid w:val="00B01A96"/>
    <w:rsid w:val="00B0648E"/>
    <w:rsid w:val="00B1132E"/>
    <w:rsid w:val="00B34628"/>
    <w:rsid w:val="00B36A6D"/>
    <w:rsid w:val="00B4261E"/>
    <w:rsid w:val="00B469D6"/>
    <w:rsid w:val="00B63803"/>
    <w:rsid w:val="00B73408"/>
    <w:rsid w:val="00B82BF8"/>
    <w:rsid w:val="00B8345E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BE4966"/>
    <w:rsid w:val="00BE6CCE"/>
    <w:rsid w:val="00C11852"/>
    <w:rsid w:val="00C152CF"/>
    <w:rsid w:val="00C22B8A"/>
    <w:rsid w:val="00C26D2B"/>
    <w:rsid w:val="00C40AC1"/>
    <w:rsid w:val="00C47C08"/>
    <w:rsid w:val="00C61136"/>
    <w:rsid w:val="00C723A8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4239"/>
    <w:rsid w:val="00D455CB"/>
    <w:rsid w:val="00D72EB8"/>
    <w:rsid w:val="00D8697F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EF0893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5FA3"/>
    <w:rsid w:val="00FB545D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CF46848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C5E2-331E-404E-A1A8-77BE2A65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274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Lisa Sauerwein</cp:lastModifiedBy>
  <cp:revision>10</cp:revision>
  <cp:lastPrinted>2014-12-17T00:20:00Z</cp:lastPrinted>
  <dcterms:created xsi:type="dcterms:W3CDTF">2016-06-23T22:10:00Z</dcterms:created>
  <dcterms:modified xsi:type="dcterms:W3CDTF">2016-09-20T19:19:00Z</dcterms:modified>
</cp:coreProperties>
</file>